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截至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11月霍城县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截至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12月霍城县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12月，霍城县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62.45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（一）一般债务限额总额情况。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12月，霍城县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21.73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专项债务限额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总额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12月，霍城县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40.72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二、本次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根据伊犁州财政局《关于下达2024年自治州新增地方政府债务限额的通知》《关于调整下达部分县市2024年新增地方政府一般债务限额的通知》文件，下达霍城县新增债务限额8.43亿元。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新增一般债务限额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分配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新增专项债务限额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分配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7.0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三、调整后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11月霍城县政府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按照上述新增债务限额分配后，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70.88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一般债务限额总额情况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23.16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专项债务限额总额情况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47.72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、截止202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69.50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70.88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22.58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截止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46.92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11月，霍城县本次安排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新增一般债券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安排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11月，霍城县安排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霍城县2024年农村饮水安全巩固提升工程0.3亿元、霍城县2024年农村公路建设项目0.5亿元、霍城县城镇幼儿园建设项目0.2亿元、霍城县2024年人居环境整治建设项目0.5亿元、霍城县城镇寄宿制学校建设项目0.2亿元、2024年农村公路路网等级提升改造项目0.1亿元、伊犁州霍城县规划路市政道路建设项目0.1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安排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11月，霍城县安排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7.0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霍城经济开发区工业供水管网基础设施建设项目0.6亿元、霍城县2022年棚户区改造二期建设项目1.5亿元、霍城县2023年中华福寿山4A级景区基础设施建设项目0.5亿元、霍城县新材料产业园配套110千伏电网基础设施建设项目0.5亿元、霍城经济开发区（自治区级开发区）供热设施提升改造建设项目0.1亿元、霍城经济开发区（自治区级开发区）碳基新材料产业园基础设施建设项目1.0亿元、霍城经济开发区（自治区级开发区）特色工艺家装产业园基础设施建设项目1.0亿元、霍城经济开发区（自治区级开发区）新型建材产业园基础设施建设项目1.0亿元、霍城经济开发区（自治区级开发区）电子产品产业园基础设施建设项目0.8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1.1-1截止2024年11月霍城县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1-2截止2024年11月霍城县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地区政府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1-3截止2024年11月霍城县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.2024年11月霍城县本级新增债券安排情况表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8F6EA"/>
    <w:multiLevelType w:val="singleLevel"/>
    <w:tmpl w:val="8958F6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63F2F9D"/>
    <w:rsid w:val="06CA1E18"/>
    <w:rsid w:val="07017CEF"/>
    <w:rsid w:val="090B4E5B"/>
    <w:rsid w:val="09312775"/>
    <w:rsid w:val="0A6854E8"/>
    <w:rsid w:val="0BFC2744"/>
    <w:rsid w:val="1053339A"/>
    <w:rsid w:val="17084EB4"/>
    <w:rsid w:val="182373F8"/>
    <w:rsid w:val="18823C8F"/>
    <w:rsid w:val="18B627CD"/>
    <w:rsid w:val="18E45EF2"/>
    <w:rsid w:val="1D57227F"/>
    <w:rsid w:val="1D7C5E6B"/>
    <w:rsid w:val="202C1537"/>
    <w:rsid w:val="209B4586"/>
    <w:rsid w:val="27014DB9"/>
    <w:rsid w:val="28016BB3"/>
    <w:rsid w:val="2AB37734"/>
    <w:rsid w:val="2AF239FC"/>
    <w:rsid w:val="2BE12DE0"/>
    <w:rsid w:val="2DB7470C"/>
    <w:rsid w:val="2EE13741"/>
    <w:rsid w:val="2FCE2192"/>
    <w:rsid w:val="30FE128E"/>
    <w:rsid w:val="33184B11"/>
    <w:rsid w:val="331D6FAC"/>
    <w:rsid w:val="34296AF7"/>
    <w:rsid w:val="353C53B6"/>
    <w:rsid w:val="354339ED"/>
    <w:rsid w:val="35B1555C"/>
    <w:rsid w:val="3B953D7B"/>
    <w:rsid w:val="3B9E79A9"/>
    <w:rsid w:val="44813360"/>
    <w:rsid w:val="47B72475"/>
    <w:rsid w:val="4AE26A31"/>
    <w:rsid w:val="4B080752"/>
    <w:rsid w:val="4DB47F12"/>
    <w:rsid w:val="4E890C28"/>
    <w:rsid w:val="50F44E01"/>
    <w:rsid w:val="53013412"/>
    <w:rsid w:val="53724BC6"/>
    <w:rsid w:val="56E23AB9"/>
    <w:rsid w:val="56F34C34"/>
    <w:rsid w:val="597C2125"/>
    <w:rsid w:val="59E94415"/>
    <w:rsid w:val="5F090A20"/>
    <w:rsid w:val="62323B6A"/>
    <w:rsid w:val="649B695B"/>
    <w:rsid w:val="65025F1F"/>
    <w:rsid w:val="6541174B"/>
    <w:rsid w:val="66B52D71"/>
    <w:rsid w:val="692F2D63"/>
    <w:rsid w:val="6ACF7A08"/>
    <w:rsid w:val="6B080355"/>
    <w:rsid w:val="6C133444"/>
    <w:rsid w:val="6DF533A0"/>
    <w:rsid w:val="70AC0E77"/>
    <w:rsid w:val="71827528"/>
    <w:rsid w:val="726A2F9C"/>
    <w:rsid w:val="738A4E18"/>
    <w:rsid w:val="77BB7AC7"/>
    <w:rsid w:val="791768FB"/>
    <w:rsid w:val="7CD771B6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2024-11-25T09:26:14Z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7391FBD8D4544BBA9209466113E73764</vt:lpwstr>
  </property>
</Properties>
</file>