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新疆伊犁州霍城县人民法院</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ascii="仿宋_GB2312" w:eastAsia="仿宋_GB2312"/>
          <w:sz w:val="32"/>
          <w:szCs w:val="32"/>
        </w:rPr>
        <w:t>霍城县人民法院是国家的审判机关，依照宪法和法律规定，在中共霍城县委的领导和上级人民法院的指导、监督下，依法独立行使审判权，对霍城县人民代表大会及其常务委员会负责并报告工作，接受霍城县人民代表大会及其常务委员会的监督。</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新疆伊犁州霍城县人民法院</w:t>
      </w:r>
      <w:r>
        <w:rPr>
          <w:rFonts w:hint="eastAsia" w:ascii="仿宋_GB2312" w:eastAsia="仿宋_GB2312"/>
          <w:sz w:val="32"/>
          <w:szCs w:val="32"/>
        </w:rPr>
        <w:t>2019年度，实有人数</w:t>
      </w:r>
      <w:r>
        <w:rPr>
          <w:rFonts w:ascii="仿宋_GB2312" w:eastAsia="仿宋_GB2312"/>
          <w:sz w:val="32"/>
          <w:szCs w:val="32"/>
        </w:rPr>
        <w:t>90</w:t>
      </w:r>
      <w:r>
        <w:rPr>
          <w:rFonts w:hint="eastAsia" w:ascii="仿宋_GB2312" w:eastAsia="仿宋_GB2312"/>
          <w:sz w:val="32"/>
          <w:szCs w:val="32"/>
        </w:rPr>
        <w:t>人，其中：在职人员</w:t>
      </w:r>
      <w:r>
        <w:rPr>
          <w:rFonts w:ascii="仿宋_GB2312" w:eastAsia="仿宋_GB2312"/>
          <w:sz w:val="32"/>
          <w:szCs w:val="32"/>
        </w:rPr>
        <w:t>90</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新疆伊犁州霍城县人民法院</w:t>
      </w:r>
      <w:r>
        <w:rPr>
          <w:rFonts w:hint="eastAsia" w:ascii="仿宋_GB2312" w:eastAsia="仿宋_GB2312"/>
          <w:sz w:val="32"/>
          <w:szCs w:val="32"/>
        </w:rPr>
        <w:t>决算包括：</w:t>
      </w:r>
      <w:r>
        <w:rPr>
          <w:rFonts w:ascii="仿宋_GB2312" w:eastAsia="仿宋_GB2312"/>
          <w:sz w:val="32"/>
          <w:szCs w:val="32"/>
        </w:rPr>
        <w:t>新疆伊犁州霍城县人民法院</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1869.62</w:t>
      </w:r>
      <w:r>
        <w:rPr>
          <w:rFonts w:hint="eastAsia" w:ascii="仿宋_GB2312" w:eastAsia="仿宋_GB2312"/>
          <w:sz w:val="32"/>
          <w:szCs w:val="32"/>
        </w:rPr>
        <w:t>万元，与上年相比，减少</w:t>
      </w:r>
      <w:r>
        <w:rPr>
          <w:rFonts w:ascii="仿宋_GB2312" w:eastAsia="仿宋_GB2312"/>
          <w:sz w:val="32"/>
          <w:szCs w:val="32"/>
        </w:rPr>
        <w:t>80.56</w:t>
      </w:r>
      <w:r>
        <w:rPr>
          <w:rFonts w:hint="eastAsia" w:ascii="仿宋_GB2312" w:eastAsia="仿宋_GB2312"/>
          <w:sz w:val="32"/>
          <w:szCs w:val="32"/>
        </w:rPr>
        <w:t>万元，降低</w:t>
      </w:r>
      <w:r>
        <w:rPr>
          <w:rFonts w:ascii="仿宋_GB2312" w:eastAsia="仿宋_GB2312"/>
          <w:sz w:val="32"/>
          <w:szCs w:val="32"/>
        </w:rPr>
        <w:t>4.13</w:t>
      </w:r>
      <w:r>
        <w:rPr>
          <w:rFonts w:hint="eastAsia" w:ascii="仿宋_GB2312" w:eastAsia="仿宋_GB2312"/>
          <w:sz w:val="32"/>
          <w:szCs w:val="32"/>
        </w:rPr>
        <w:t>%，主要原因是：财政压缩开支，项目支出减少。本年支出</w:t>
      </w:r>
      <w:r>
        <w:rPr>
          <w:rFonts w:ascii="仿宋_GB2312" w:eastAsia="仿宋_GB2312"/>
          <w:sz w:val="32"/>
          <w:szCs w:val="32"/>
        </w:rPr>
        <w:t>1713.04</w:t>
      </w:r>
      <w:r>
        <w:rPr>
          <w:rFonts w:hint="eastAsia" w:ascii="仿宋_GB2312" w:eastAsia="仿宋_GB2312"/>
          <w:sz w:val="32"/>
          <w:szCs w:val="32"/>
        </w:rPr>
        <w:t>万元，与上年相比，减少</w:t>
      </w:r>
      <w:r>
        <w:rPr>
          <w:rFonts w:ascii="仿宋_GB2312" w:eastAsia="仿宋_GB2312"/>
          <w:sz w:val="32"/>
          <w:szCs w:val="32"/>
        </w:rPr>
        <w:t>243.55</w:t>
      </w:r>
      <w:r>
        <w:rPr>
          <w:rFonts w:hint="eastAsia" w:ascii="仿宋_GB2312" w:eastAsia="仿宋_GB2312"/>
          <w:sz w:val="32"/>
          <w:szCs w:val="32"/>
        </w:rPr>
        <w:t>万元，</w:t>
      </w:r>
      <w:r>
        <w:rPr>
          <w:rFonts w:hint="eastAsia" w:ascii="仿宋_GB2312" w:eastAsia="仿宋_GB2312"/>
          <w:sz w:val="32"/>
          <w:szCs w:val="32"/>
          <w:lang w:eastAsia="zh-CN"/>
        </w:rPr>
        <w:t>降低</w:t>
      </w:r>
      <w:r>
        <w:rPr>
          <w:rFonts w:ascii="仿宋_GB2312" w:eastAsia="仿宋_GB2312"/>
          <w:sz w:val="32"/>
          <w:szCs w:val="32"/>
        </w:rPr>
        <w:t>12.45</w:t>
      </w:r>
      <w:r>
        <w:rPr>
          <w:rFonts w:hint="eastAsia" w:ascii="仿宋_GB2312" w:eastAsia="仿宋_GB2312"/>
          <w:sz w:val="32"/>
          <w:szCs w:val="32"/>
        </w:rPr>
        <w:t>%，主要原因是：财政压缩开支，项目支出减少。</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1869.62</w:t>
      </w:r>
      <w:r>
        <w:rPr>
          <w:rFonts w:hint="eastAsia" w:ascii="仿宋_GB2312" w:eastAsia="仿宋_GB2312"/>
          <w:sz w:val="32"/>
          <w:szCs w:val="32"/>
        </w:rPr>
        <w:t>万元，其中：财政拨款收入</w:t>
      </w:r>
      <w:r>
        <w:rPr>
          <w:rFonts w:ascii="仿宋_GB2312" w:eastAsia="仿宋_GB2312"/>
          <w:sz w:val="32"/>
          <w:szCs w:val="32"/>
        </w:rPr>
        <w:t>1829.62</w:t>
      </w:r>
      <w:r>
        <w:rPr>
          <w:rFonts w:hint="eastAsia" w:ascii="仿宋_GB2312" w:eastAsia="仿宋_GB2312"/>
          <w:sz w:val="32"/>
          <w:szCs w:val="32"/>
        </w:rPr>
        <w:t>万元，占</w:t>
      </w:r>
      <w:r>
        <w:rPr>
          <w:rFonts w:ascii="仿宋_GB2312" w:eastAsia="仿宋_GB2312"/>
          <w:sz w:val="32"/>
          <w:szCs w:val="32"/>
        </w:rPr>
        <w:t>97.86</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40</w:t>
      </w:r>
      <w:r>
        <w:rPr>
          <w:rFonts w:hint="eastAsia" w:ascii="仿宋_GB2312" w:eastAsia="仿宋_GB2312"/>
          <w:sz w:val="32"/>
          <w:szCs w:val="32"/>
        </w:rPr>
        <w:t>万元，占</w:t>
      </w:r>
      <w:r>
        <w:rPr>
          <w:rFonts w:ascii="仿宋_GB2312" w:eastAsia="仿宋_GB2312"/>
          <w:sz w:val="32"/>
          <w:szCs w:val="32"/>
        </w:rPr>
        <w:t>2.14</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1713.04</w:t>
      </w:r>
      <w:r>
        <w:rPr>
          <w:rFonts w:hint="eastAsia" w:ascii="仿宋_GB2312" w:eastAsia="仿宋_GB2312"/>
          <w:sz w:val="32"/>
          <w:szCs w:val="32"/>
        </w:rPr>
        <w:t>万元，其中：基本支出</w:t>
      </w:r>
      <w:r>
        <w:rPr>
          <w:rFonts w:ascii="仿宋_GB2312" w:eastAsia="仿宋_GB2312"/>
          <w:sz w:val="32"/>
          <w:szCs w:val="32"/>
        </w:rPr>
        <w:t>1462.62</w:t>
      </w:r>
      <w:r>
        <w:rPr>
          <w:rFonts w:hint="eastAsia" w:ascii="仿宋_GB2312" w:eastAsia="仿宋_GB2312"/>
          <w:sz w:val="32"/>
          <w:szCs w:val="32"/>
        </w:rPr>
        <w:t>万元，占</w:t>
      </w:r>
      <w:r>
        <w:rPr>
          <w:rFonts w:ascii="仿宋_GB2312" w:eastAsia="仿宋_GB2312"/>
          <w:sz w:val="32"/>
          <w:szCs w:val="32"/>
        </w:rPr>
        <w:t>85.38</w:t>
      </w:r>
      <w:r>
        <w:rPr>
          <w:rFonts w:hint="eastAsia" w:ascii="仿宋_GB2312" w:eastAsia="仿宋_GB2312"/>
          <w:sz w:val="32"/>
          <w:szCs w:val="32"/>
        </w:rPr>
        <w:t>%；项目支出</w:t>
      </w:r>
      <w:r>
        <w:rPr>
          <w:rFonts w:ascii="仿宋_GB2312" w:eastAsia="仿宋_GB2312"/>
          <w:sz w:val="32"/>
          <w:szCs w:val="32"/>
        </w:rPr>
        <w:t>250.42</w:t>
      </w:r>
      <w:r>
        <w:rPr>
          <w:rFonts w:hint="eastAsia" w:ascii="仿宋_GB2312" w:eastAsia="仿宋_GB2312"/>
          <w:sz w:val="32"/>
          <w:szCs w:val="32"/>
        </w:rPr>
        <w:t>万元，占</w:t>
      </w:r>
      <w:r>
        <w:rPr>
          <w:rFonts w:ascii="仿宋_GB2312" w:eastAsia="仿宋_GB2312"/>
          <w:sz w:val="32"/>
          <w:szCs w:val="32"/>
        </w:rPr>
        <w:t>14.62</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1829.62</w:t>
      </w:r>
      <w:r>
        <w:rPr>
          <w:rFonts w:hint="eastAsia" w:ascii="仿宋_GB2312" w:eastAsia="仿宋_GB2312"/>
          <w:sz w:val="32"/>
          <w:szCs w:val="32"/>
        </w:rPr>
        <w:t>万元，与上年相比，减少</w:t>
      </w:r>
      <w:r>
        <w:rPr>
          <w:rFonts w:ascii="仿宋_GB2312" w:eastAsia="仿宋_GB2312"/>
          <w:sz w:val="32"/>
          <w:szCs w:val="32"/>
        </w:rPr>
        <w:t>118.06</w:t>
      </w:r>
      <w:r>
        <w:rPr>
          <w:rFonts w:hint="eastAsia" w:ascii="仿宋_GB2312" w:eastAsia="仿宋_GB2312"/>
          <w:sz w:val="32"/>
          <w:szCs w:val="32"/>
        </w:rPr>
        <w:t>万元，降低</w:t>
      </w:r>
      <w:r>
        <w:rPr>
          <w:rFonts w:ascii="仿宋_GB2312" w:eastAsia="仿宋_GB2312"/>
          <w:sz w:val="32"/>
          <w:szCs w:val="32"/>
        </w:rPr>
        <w:t>6.06</w:t>
      </w:r>
      <w:r>
        <w:rPr>
          <w:rFonts w:hint="eastAsia" w:ascii="仿宋_GB2312" w:eastAsia="仿宋_GB2312"/>
          <w:sz w:val="32"/>
          <w:szCs w:val="32"/>
        </w:rPr>
        <w:t>%。主要原因是：项目支出减少。财政拨款支出</w:t>
      </w:r>
      <w:r>
        <w:rPr>
          <w:rFonts w:ascii="仿宋_GB2312" w:eastAsia="仿宋_GB2312"/>
          <w:sz w:val="32"/>
          <w:szCs w:val="32"/>
        </w:rPr>
        <w:t>1713.04</w:t>
      </w:r>
      <w:r>
        <w:rPr>
          <w:rFonts w:hint="eastAsia" w:ascii="仿宋_GB2312" w:eastAsia="仿宋_GB2312"/>
          <w:sz w:val="32"/>
          <w:szCs w:val="32"/>
        </w:rPr>
        <w:t>万元，与上年相比，减少</w:t>
      </w:r>
      <w:r>
        <w:rPr>
          <w:rFonts w:ascii="仿宋_GB2312" w:eastAsia="仿宋_GB2312"/>
          <w:sz w:val="32"/>
          <w:szCs w:val="32"/>
        </w:rPr>
        <w:t>241.05</w:t>
      </w:r>
      <w:r>
        <w:rPr>
          <w:rFonts w:hint="eastAsia" w:ascii="仿宋_GB2312" w:eastAsia="仿宋_GB2312"/>
          <w:sz w:val="32"/>
          <w:szCs w:val="32"/>
        </w:rPr>
        <w:t>万元，降低</w:t>
      </w:r>
      <w:r>
        <w:rPr>
          <w:rFonts w:ascii="仿宋_GB2312" w:eastAsia="仿宋_GB2312"/>
          <w:sz w:val="32"/>
          <w:szCs w:val="32"/>
        </w:rPr>
        <w:t>12.34</w:t>
      </w:r>
      <w:r>
        <w:rPr>
          <w:rFonts w:hint="eastAsia" w:ascii="仿宋_GB2312" w:eastAsia="仿宋_GB2312"/>
          <w:sz w:val="32"/>
          <w:szCs w:val="32"/>
        </w:rPr>
        <w:t>%，主要原因是：项目支出减少。</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1316.88</w:t>
      </w:r>
      <w:r>
        <w:rPr>
          <w:rFonts w:hint="eastAsia" w:ascii="仿宋_GB2312" w:eastAsia="仿宋_GB2312"/>
          <w:sz w:val="32"/>
          <w:szCs w:val="32"/>
        </w:rPr>
        <w:t>万元，决算数</w:t>
      </w:r>
      <w:r>
        <w:rPr>
          <w:rFonts w:ascii="仿宋_GB2312" w:eastAsia="仿宋_GB2312"/>
          <w:sz w:val="32"/>
          <w:szCs w:val="32"/>
        </w:rPr>
        <w:t>1829.62</w:t>
      </w:r>
      <w:r>
        <w:rPr>
          <w:rFonts w:hint="eastAsia" w:ascii="仿宋_GB2312" w:eastAsia="仿宋_GB2312"/>
          <w:sz w:val="32"/>
          <w:szCs w:val="32"/>
        </w:rPr>
        <w:t>万元，预决算差异率</w:t>
      </w:r>
      <w:r>
        <w:rPr>
          <w:rFonts w:ascii="仿宋_GB2312" w:eastAsia="仿宋_GB2312"/>
          <w:sz w:val="32"/>
          <w:szCs w:val="32"/>
        </w:rPr>
        <w:t>38.94</w:t>
      </w:r>
      <w:r>
        <w:rPr>
          <w:rFonts w:hint="eastAsia" w:ascii="仿宋_GB2312" w:eastAsia="仿宋_GB2312"/>
          <w:sz w:val="32"/>
          <w:szCs w:val="32"/>
        </w:rPr>
        <w:t>%，主要原因是：年初只做人员经费预算，未做项目预算，年中追加援疆资金，导致预决算存在差异。财政拨款支出年初预算数</w:t>
      </w:r>
      <w:r>
        <w:rPr>
          <w:rFonts w:ascii="仿宋_GB2312" w:eastAsia="仿宋_GB2312"/>
          <w:sz w:val="32"/>
          <w:szCs w:val="32"/>
        </w:rPr>
        <w:t>1316.88</w:t>
      </w:r>
      <w:r>
        <w:rPr>
          <w:rFonts w:hint="eastAsia" w:ascii="仿宋_GB2312" w:eastAsia="仿宋_GB2312"/>
          <w:sz w:val="32"/>
          <w:szCs w:val="32"/>
        </w:rPr>
        <w:t>万元，决算数</w:t>
      </w:r>
      <w:r>
        <w:rPr>
          <w:rFonts w:ascii="仿宋_GB2312" w:eastAsia="仿宋_GB2312"/>
          <w:sz w:val="32"/>
          <w:szCs w:val="32"/>
        </w:rPr>
        <w:t>1713.04</w:t>
      </w:r>
      <w:r>
        <w:rPr>
          <w:rFonts w:hint="eastAsia" w:ascii="仿宋_GB2312" w:eastAsia="仿宋_GB2312"/>
          <w:sz w:val="32"/>
          <w:szCs w:val="32"/>
        </w:rPr>
        <w:t>万元，预决算差异率</w:t>
      </w:r>
      <w:r>
        <w:rPr>
          <w:rFonts w:ascii="仿宋_GB2312" w:eastAsia="仿宋_GB2312"/>
          <w:sz w:val="32"/>
          <w:szCs w:val="32"/>
        </w:rPr>
        <w:t>30.08</w:t>
      </w:r>
      <w:r>
        <w:rPr>
          <w:rFonts w:hint="eastAsia" w:ascii="仿宋_GB2312" w:eastAsia="仿宋_GB2312"/>
          <w:sz w:val="32"/>
          <w:szCs w:val="32"/>
        </w:rPr>
        <w:t>%，主要原因是：年初只做人员经费预算，未做项目预算，年中追加援疆资金，导致预决算存在差异。</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1713.04</w:t>
      </w:r>
      <w:r>
        <w:rPr>
          <w:rFonts w:hint="eastAsia" w:ascii="仿宋_GB2312" w:eastAsia="仿宋_GB2312"/>
          <w:sz w:val="32"/>
          <w:szCs w:val="32"/>
        </w:rPr>
        <w:t>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2040501行政运行1,165.41万元；</w:t>
      </w:r>
    </w:p>
    <w:p>
      <w:pPr>
        <w:ind w:firstLine="640" w:firstLineChars="200"/>
        <w:rPr>
          <w:rFonts w:ascii="仿宋_GB2312" w:eastAsia="仿宋_GB2312"/>
          <w:sz w:val="32"/>
          <w:szCs w:val="32"/>
        </w:rPr>
      </w:pPr>
      <w:r>
        <w:rPr>
          <w:rFonts w:hint="eastAsia" w:ascii="仿宋_GB2312" w:eastAsia="仿宋_GB2312"/>
          <w:sz w:val="32"/>
          <w:szCs w:val="32"/>
        </w:rPr>
        <w:t>2040599其他法院支出250.42万元；</w:t>
      </w:r>
    </w:p>
    <w:p>
      <w:pPr>
        <w:ind w:firstLine="640" w:firstLineChars="200"/>
        <w:rPr>
          <w:rFonts w:ascii="仿宋_GB2312" w:eastAsia="仿宋_GB2312"/>
          <w:sz w:val="32"/>
          <w:szCs w:val="32"/>
        </w:rPr>
      </w:pPr>
      <w:r>
        <w:rPr>
          <w:rFonts w:hint="eastAsia" w:ascii="仿宋_GB2312" w:eastAsia="仿宋_GB2312"/>
          <w:sz w:val="32"/>
          <w:szCs w:val="32"/>
        </w:rPr>
        <w:t>2080501归口管理的行政单位离退休5.24万元；</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2080505机关事业单位基本养老保险缴费支出126.75万元；</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2080506机关事业单位职业年金缴费支出14.14万元；</w:t>
      </w:r>
    </w:p>
    <w:p>
      <w:pPr>
        <w:ind w:firstLine="640" w:firstLineChars="200"/>
        <w:rPr>
          <w:rFonts w:ascii="仿宋_GB2312" w:eastAsia="仿宋_GB2312"/>
          <w:sz w:val="32"/>
          <w:szCs w:val="32"/>
        </w:rPr>
      </w:pPr>
      <w:r>
        <w:rPr>
          <w:rFonts w:hint="eastAsia" w:ascii="仿宋_GB2312" w:eastAsia="仿宋_GB2312"/>
          <w:sz w:val="32"/>
          <w:szCs w:val="32"/>
        </w:rPr>
        <w:t>2080799其他就业补助支出1.01万元；</w:t>
      </w:r>
    </w:p>
    <w:p>
      <w:pPr>
        <w:ind w:firstLine="640" w:firstLineChars="200"/>
        <w:rPr>
          <w:rFonts w:ascii="仿宋_GB2312" w:eastAsia="仿宋_GB2312"/>
          <w:sz w:val="32"/>
          <w:szCs w:val="32"/>
        </w:rPr>
      </w:pPr>
      <w:r>
        <w:rPr>
          <w:rFonts w:hint="eastAsia" w:ascii="仿宋_GB2312" w:eastAsia="仿宋_GB2312"/>
          <w:sz w:val="32"/>
          <w:szCs w:val="32"/>
        </w:rPr>
        <w:t>2101101行政单位医疗70.64万元；</w:t>
      </w:r>
    </w:p>
    <w:p>
      <w:pPr>
        <w:ind w:firstLine="640" w:firstLineChars="200"/>
        <w:rPr>
          <w:rFonts w:ascii="仿宋_GB2312" w:eastAsia="仿宋_GB2312"/>
          <w:sz w:val="32"/>
          <w:szCs w:val="32"/>
        </w:rPr>
      </w:pPr>
      <w:r>
        <w:rPr>
          <w:rFonts w:hint="eastAsia" w:ascii="仿宋_GB2312" w:eastAsia="仿宋_GB2312"/>
          <w:sz w:val="32"/>
          <w:szCs w:val="32"/>
        </w:rPr>
        <w:t>2210201住房公积金79.43万元。</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1462.62</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1315.96</w:t>
      </w:r>
      <w:r>
        <w:rPr>
          <w:rFonts w:hint="eastAsia" w:ascii="仿宋_GB2312" w:eastAsia="仿宋_GB2312"/>
          <w:sz w:val="32"/>
          <w:szCs w:val="32"/>
        </w:rPr>
        <w:t>万元，包括：基本工资，津贴补贴，奖金，绩效工资，机关事业单位基本养老保险缴费，职业年金缴费，职工基本养老保险缴费，其他社会保险缴费，住房公积金，其他工资福利支出，退休费，生活补助。</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146.66</w:t>
      </w:r>
      <w:r>
        <w:rPr>
          <w:rFonts w:hint="eastAsia" w:ascii="仿宋_GB2312" w:eastAsia="仿宋_GB2312"/>
          <w:sz w:val="32"/>
          <w:szCs w:val="32"/>
        </w:rPr>
        <w:t>万元，包括：办公费，手续费，水费，电费，邮电费，取暖费，差旅费，维修（护）费，劳务费，福利费，其他交通费用。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38.6</w:t>
      </w:r>
      <w:r>
        <w:rPr>
          <w:rFonts w:hint="eastAsia" w:ascii="仿宋_GB2312" w:eastAsia="仿宋_GB2312"/>
          <w:sz w:val="32"/>
          <w:szCs w:val="32"/>
        </w:rPr>
        <w:t>万元，比上年减少</w:t>
      </w:r>
      <w:r>
        <w:rPr>
          <w:rFonts w:ascii="仿宋_GB2312" w:eastAsia="仿宋_GB2312"/>
          <w:sz w:val="32"/>
          <w:szCs w:val="32"/>
        </w:rPr>
        <w:t>40.05</w:t>
      </w:r>
      <w:r>
        <w:rPr>
          <w:rFonts w:hint="eastAsia" w:ascii="仿宋_GB2312" w:eastAsia="仿宋_GB2312"/>
          <w:sz w:val="32"/>
          <w:szCs w:val="32"/>
        </w:rPr>
        <w:t>万元，降低</w:t>
      </w:r>
      <w:r>
        <w:rPr>
          <w:rFonts w:ascii="仿宋_GB2312" w:eastAsia="仿宋_GB2312"/>
          <w:sz w:val="32"/>
          <w:szCs w:val="32"/>
        </w:rPr>
        <w:t>50.92</w:t>
      </w:r>
      <w:r>
        <w:rPr>
          <w:rFonts w:hint="eastAsia" w:ascii="仿宋_GB2312" w:eastAsia="仿宋_GB2312"/>
          <w:sz w:val="32"/>
          <w:szCs w:val="32"/>
        </w:rPr>
        <w:t>%，主要原因是：严格按照上级要求，厉行节约，压减不必要经费支出。其中，因公出国（境）费支出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38.6</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%，比上年减少</w:t>
      </w:r>
      <w:r>
        <w:rPr>
          <w:rFonts w:ascii="仿宋_GB2312" w:eastAsia="仿宋_GB2312"/>
          <w:sz w:val="32"/>
          <w:szCs w:val="32"/>
        </w:rPr>
        <w:t>39.55</w:t>
      </w:r>
      <w:r>
        <w:rPr>
          <w:rFonts w:hint="eastAsia" w:ascii="仿宋_GB2312" w:eastAsia="仿宋_GB2312"/>
          <w:sz w:val="32"/>
          <w:szCs w:val="32"/>
        </w:rPr>
        <w:t>万元，降低</w:t>
      </w:r>
      <w:r>
        <w:rPr>
          <w:rFonts w:ascii="仿宋_GB2312" w:eastAsia="仿宋_GB2312"/>
          <w:sz w:val="32"/>
          <w:szCs w:val="32"/>
        </w:rPr>
        <w:t>50.61</w:t>
      </w:r>
      <w:r>
        <w:rPr>
          <w:rFonts w:hint="eastAsia" w:ascii="仿宋_GB2312" w:eastAsia="仿宋_GB2312"/>
          <w:sz w:val="32"/>
          <w:szCs w:val="32"/>
        </w:rPr>
        <w:t>%，主要原因是：</w:t>
      </w:r>
      <w:r>
        <w:rPr>
          <w:rFonts w:ascii="仿宋_GB2312" w:eastAsia="仿宋_GB2312"/>
          <w:sz w:val="32"/>
          <w:szCs w:val="32"/>
        </w:rPr>
        <w:t>压减开支</w:t>
      </w:r>
      <w:r>
        <w:rPr>
          <w:rFonts w:hint="eastAsia" w:ascii="仿宋_GB2312" w:eastAsia="仿宋_GB2312"/>
          <w:sz w:val="32"/>
          <w:szCs w:val="32"/>
        </w:rPr>
        <w:t>；公务接待费支出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%，比上年降低</w:t>
      </w:r>
      <w:r>
        <w:rPr>
          <w:rFonts w:ascii="仿宋_GB2312" w:eastAsia="仿宋_GB2312"/>
          <w:sz w:val="32"/>
          <w:szCs w:val="32"/>
        </w:rPr>
        <w:t>0.5</w:t>
      </w:r>
      <w:r>
        <w:rPr>
          <w:rFonts w:hint="eastAsia" w:ascii="仿宋_GB2312" w:eastAsia="仿宋_GB2312"/>
          <w:sz w:val="32"/>
          <w:szCs w:val="32"/>
        </w:rPr>
        <w:t>万元，降低</w:t>
      </w:r>
      <w:r>
        <w:rPr>
          <w:rFonts w:ascii="仿宋_GB2312" w:eastAsia="仿宋_GB2312"/>
          <w:sz w:val="32"/>
          <w:szCs w:val="32"/>
        </w:rPr>
        <w:t>100</w:t>
      </w:r>
      <w:r>
        <w:rPr>
          <w:rFonts w:hint="eastAsia" w:ascii="仿宋_GB2312" w:eastAsia="仿宋_GB2312"/>
          <w:sz w:val="32"/>
          <w:szCs w:val="32"/>
        </w:rPr>
        <w:t>%，主要原因是：</w:t>
      </w:r>
      <w:r>
        <w:rPr>
          <w:rFonts w:hint="eastAsia" w:ascii="仿宋_GB2312" w:eastAsia="仿宋_GB2312"/>
          <w:sz w:val="32"/>
          <w:szCs w:val="32"/>
          <w:lang w:eastAsia="zh-CN"/>
        </w:rPr>
        <w:t>本年</w:t>
      </w:r>
      <w:bookmarkStart w:id="18" w:name="_GoBack"/>
      <w:bookmarkEnd w:id="18"/>
      <w:r>
        <w:rPr>
          <w:rFonts w:hint="eastAsia" w:ascii="仿宋_GB2312" w:eastAsia="仿宋_GB2312"/>
          <w:sz w:val="32"/>
          <w:szCs w:val="32"/>
        </w:rPr>
        <w:t>无此项开支。具体情况如下：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38.6</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38.6</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22</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万元，开支内容包括：无此项开支。单位全年安排的国内公务接待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52</w:t>
      </w:r>
      <w:r>
        <w:rPr>
          <w:rFonts w:hint="eastAsia" w:ascii="仿宋_GB2312" w:eastAsia="仿宋_GB2312"/>
          <w:sz w:val="32"/>
          <w:szCs w:val="32"/>
        </w:rPr>
        <w:t>万元，决算数</w:t>
      </w:r>
      <w:r>
        <w:rPr>
          <w:rFonts w:ascii="仿宋_GB2312" w:eastAsia="仿宋_GB2312"/>
          <w:sz w:val="32"/>
          <w:szCs w:val="32"/>
        </w:rPr>
        <w:t>38.6</w:t>
      </w:r>
      <w:r>
        <w:rPr>
          <w:rFonts w:hint="eastAsia" w:ascii="仿宋_GB2312" w:eastAsia="仿宋_GB2312"/>
          <w:sz w:val="32"/>
          <w:szCs w:val="32"/>
        </w:rPr>
        <w:t>万元，预决算差异率</w:t>
      </w:r>
      <w:r>
        <w:rPr>
          <w:rFonts w:ascii="仿宋_GB2312" w:eastAsia="仿宋_GB2312"/>
          <w:sz w:val="32"/>
          <w:szCs w:val="32"/>
        </w:rPr>
        <w:t>-25.77</w:t>
      </w:r>
      <w:r>
        <w:rPr>
          <w:rFonts w:hint="eastAsia" w:ascii="仿宋_GB2312" w:eastAsia="仿宋_GB2312"/>
          <w:sz w:val="32"/>
          <w:szCs w:val="32"/>
        </w:rPr>
        <w:t>%，主要原因是：严格执行八项规定，厉行节约。</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52</w:t>
      </w:r>
      <w:r>
        <w:rPr>
          <w:rFonts w:hint="eastAsia" w:ascii="仿宋_GB2312" w:eastAsia="仿宋_GB2312"/>
          <w:sz w:val="32"/>
          <w:szCs w:val="32"/>
        </w:rPr>
        <w:t>万元，决算数</w:t>
      </w:r>
      <w:r>
        <w:rPr>
          <w:rFonts w:ascii="仿宋_GB2312" w:eastAsia="仿宋_GB2312"/>
          <w:sz w:val="32"/>
          <w:szCs w:val="32"/>
        </w:rPr>
        <w:t>38.6</w:t>
      </w:r>
      <w:r>
        <w:rPr>
          <w:rFonts w:hint="eastAsia" w:ascii="仿宋_GB2312" w:eastAsia="仿宋_GB2312"/>
          <w:sz w:val="32"/>
          <w:szCs w:val="32"/>
        </w:rPr>
        <w:t>万元，预决算差异率</w:t>
      </w:r>
      <w:r>
        <w:rPr>
          <w:rFonts w:ascii="仿宋_GB2312" w:eastAsia="仿宋_GB2312"/>
          <w:sz w:val="32"/>
          <w:szCs w:val="32"/>
        </w:rPr>
        <w:t>-25.77</w:t>
      </w:r>
      <w:r>
        <w:rPr>
          <w:rFonts w:hint="eastAsia" w:ascii="仿宋_GB2312" w:eastAsia="仿宋_GB2312"/>
          <w:sz w:val="32"/>
          <w:szCs w:val="32"/>
        </w:rPr>
        <w:t>%，主要原因是：严格执行八项规定，厉行节约；</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新疆伊犁州霍城县人民法院</w:t>
      </w:r>
      <w:r>
        <w:rPr>
          <w:rFonts w:hint="eastAsia" w:ascii="仿宋_GB2312" w:eastAsia="仿宋_GB2312"/>
          <w:sz w:val="32"/>
          <w:szCs w:val="32"/>
        </w:rPr>
        <w:t>（行政单位）机关运行经费支出</w:t>
      </w:r>
      <w:r>
        <w:rPr>
          <w:rFonts w:ascii="仿宋_GB2312" w:eastAsia="仿宋_GB2312"/>
          <w:sz w:val="32"/>
          <w:szCs w:val="32"/>
        </w:rPr>
        <w:t>146.66</w:t>
      </w:r>
      <w:r>
        <w:rPr>
          <w:rFonts w:hint="eastAsia" w:ascii="仿宋_GB2312" w:eastAsia="仿宋_GB2312"/>
          <w:sz w:val="32"/>
          <w:szCs w:val="32"/>
        </w:rPr>
        <w:t>万元，比上年减少</w:t>
      </w:r>
      <w:r>
        <w:rPr>
          <w:rFonts w:ascii="仿宋_GB2312" w:eastAsia="仿宋_GB2312"/>
          <w:sz w:val="32"/>
          <w:szCs w:val="32"/>
        </w:rPr>
        <w:t>163.41</w:t>
      </w:r>
      <w:r>
        <w:rPr>
          <w:rFonts w:hint="eastAsia" w:ascii="仿宋_GB2312" w:eastAsia="仿宋_GB2312"/>
          <w:sz w:val="32"/>
          <w:szCs w:val="32"/>
        </w:rPr>
        <w:t>万元，降低</w:t>
      </w:r>
      <w:r>
        <w:rPr>
          <w:rFonts w:ascii="仿宋_GB2312" w:eastAsia="仿宋_GB2312"/>
          <w:sz w:val="32"/>
          <w:szCs w:val="32"/>
        </w:rPr>
        <w:t>52.7</w:t>
      </w:r>
      <w:r>
        <w:rPr>
          <w:rFonts w:hint="eastAsia" w:ascii="仿宋_GB2312" w:eastAsia="仿宋_GB2312"/>
          <w:sz w:val="32"/>
          <w:szCs w:val="32"/>
        </w:rPr>
        <w:t>%，主要原因是：厉行节约，降低费用。</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105.01</w:t>
      </w:r>
      <w:r>
        <w:rPr>
          <w:rFonts w:hint="eastAsia" w:ascii="仿宋_GB2312" w:eastAsia="仿宋_GB2312"/>
          <w:sz w:val="32"/>
          <w:szCs w:val="32"/>
        </w:rPr>
        <w:t>万元，其中：政府采购货物支出</w:t>
      </w:r>
      <w:r>
        <w:rPr>
          <w:rFonts w:ascii="仿宋_GB2312" w:eastAsia="仿宋_GB2312"/>
          <w:sz w:val="32"/>
          <w:szCs w:val="32"/>
        </w:rPr>
        <w:t>105.01</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9511</w:t>
      </w:r>
      <w:r>
        <w:rPr>
          <w:rFonts w:hint="eastAsia" w:ascii="仿宋_GB2312" w:eastAsia="仿宋_GB2312"/>
          <w:sz w:val="32"/>
          <w:szCs w:val="32"/>
        </w:rPr>
        <w:t>（平方米），价值</w:t>
      </w:r>
      <w:r>
        <w:rPr>
          <w:rFonts w:ascii="仿宋_GB2312" w:eastAsia="仿宋_GB2312"/>
          <w:sz w:val="32"/>
          <w:szCs w:val="32"/>
        </w:rPr>
        <w:t>943.42</w:t>
      </w:r>
      <w:r>
        <w:rPr>
          <w:rFonts w:hint="eastAsia" w:ascii="仿宋_GB2312" w:eastAsia="仿宋_GB2312"/>
          <w:sz w:val="32"/>
          <w:szCs w:val="32"/>
        </w:rPr>
        <w:t>万元。车辆</w:t>
      </w:r>
      <w:r>
        <w:rPr>
          <w:rFonts w:ascii="仿宋_GB2312" w:eastAsia="仿宋_GB2312"/>
          <w:sz w:val="32"/>
          <w:szCs w:val="32"/>
        </w:rPr>
        <w:t>22</w:t>
      </w:r>
      <w:r>
        <w:rPr>
          <w:rFonts w:hint="eastAsia" w:ascii="仿宋_GB2312" w:eastAsia="仿宋_GB2312"/>
          <w:sz w:val="32"/>
          <w:szCs w:val="32"/>
        </w:rPr>
        <w:t>辆，价值</w:t>
      </w:r>
      <w:r>
        <w:rPr>
          <w:rFonts w:ascii="仿宋_GB2312" w:eastAsia="仿宋_GB2312"/>
          <w:sz w:val="32"/>
          <w:szCs w:val="32"/>
        </w:rPr>
        <w:t>358.87</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20</w:t>
      </w:r>
      <w:r>
        <w:rPr>
          <w:rFonts w:hint="eastAsia" w:ascii="仿宋_GB2312" w:eastAsia="仿宋_GB2312"/>
          <w:sz w:val="32"/>
          <w:szCs w:val="32"/>
        </w:rPr>
        <w:t>辆、特种专业技术用车</w:t>
      </w:r>
      <w:r>
        <w:rPr>
          <w:rFonts w:ascii="仿宋_GB2312" w:eastAsia="仿宋_GB2312"/>
          <w:sz w:val="32"/>
          <w:szCs w:val="32"/>
        </w:rPr>
        <w:t>2</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辆，其他用车主要是：无其他用车；单位价值50万元以上通用设备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hint="eastAsia" w:ascii="仿宋_GB2312" w:eastAsia="仿宋_GB2312"/>
          <w:sz w:val="32"/>
          <w:szCs w:val="32"/>
        </w:rPr>
      </w:pPr>
      <w:r>
        <w:rPr>
          <w:rFonts w:hint="eastAsia" w:ascii="仿宋_GB2312" w:eastAsia="仿宋_GB2312"/>
          <w:sz w:val="32"/>
          <w:szCs w:val="32"/>
        </w:rPr>
        <w:t>根据预算绩效管理要求，我单位2019年度开展预算绩效评价项目1个，共涉及资金250.42万元。预算绩效管理取得的成效：以服务为要务，以司法为宗旨，以努力让人民群众在每一个司法案件中感受到公平正义为目标，全面推进审判、执行工作，不断提高司法公信力，为实现“平安、芳香、文化、智慧、健康、美丽”霍城提供有利的司法保障。发现的问题及原因：无。下一步改进措施：无。具体项目自评情况附项目支出绩效自评表。</w:t>
      </w:r>
    </w:p>
    <w:tbl>
      <w:tblPr>
        <w:tblStyle w:val="8"/>
        <w:tblW w:w="11340" w:type="dxa"/>
        <w:tblInd w:w="-1510" w:type="dxa"/>
        <w:tblLayout w:type="autofit"/>
        <w:tblCellMar>
          <w:top w:w="0" w:type="dxa"/>
          <w:left w:w="108" w:type="dxa"/>
          <w:bottom w:w="0" w:type="dxa"/>
          <w:right w:w="108" w:type="dxa"/>
        </w:tblCellMar>
      </w:tblPr>
      <w:tblGrid>
        <w:gridCol w:w="480"/>
        <w:gridCol w:w="636"/>
        <w:gridCol w:w="519"/>
        <w:gridCol w:w="1860"/>
        <w:gridCol w:w="1351"/>
        <w:gridCol w:w="1331"/>
        <w:gridCol w:w="1522"/>
        <w:gridCol w:w="1365"/>
        <w:gridCol w:w="580"/>
        <w:gridCol w:w="696"/>
        <w:gridCol w:w="1000"/>
      </w:tblGrid>
      <w:tr>
        <w:tblPrEx>
          <w:tblCellMar>
            <w:top w:w="0" w:type="dxa"/>
            <w:left w:w="108" w:type="dxa"/>
            <w:bottom w:w="0" w:type="dxa"/>
            <w:right w:w="108" w:type="dxa"/>
          </w:tblCellMar>
        </w:tblPrEx>
        <w:trPr>
          <w:trHeight w:val="900" w:hRule="atLeast"/>
        </w:trPr>
        <w:tc>
          <w:tcPr>
            <w:tcW w:w="11340" w:type="dxa"/>
            <w:gridSpan w:val="11"/>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480" w:hRule="atLeast"/>
        </w:trPr>
        <w:tc>
          <w:tcPr>
            <w:tcW w:w="11340" w:type="dxa"/>
            <w:gridSpan w:val="11"/>
            <w:tcBorders>
              <w:top w:val="nil"/>
              <w:left w:val="nil"/>
              <w:bottom w:val="nil"/>
              <w:right w:val="nil"/>
            </w:tcBorders>
            <w:shd w:val="clear" w:color="auto" w:fill="auto"/>
          </w:tcPr>
          <w:p>
            <w:pPr>
              <w:widowControl/>
              <w:jc w:val="center"/>
              <w:rPr>
                <w:rFonts w:ascii="宋体" w:hAnsi="宋体" w:cs="宋体"/>
                <w:kern w:val="0"/>
                <w:sz w:val="24"/>
              </w:rPr>
            </w:pPr>
            <w:r>
              <w:rPr>
                <w:rFonts w:hint="eastAsia" w:ascii="宋体" w:hAnsi="宋体" w:cs="宋体"/>
                <w:kern w:val="0"/>
                <w:sz w:val="24"/>
              </w:rPr>
              <w:t>（  2019年度）</w:t>
            </w:r>
          </w:p>
        </w:tc>
      </w:tr>
      <w:tr>
        <w:tblPrEx>
          <w:tblCellMar>
            <w:top w:w="0" w:type="dxa"/>
            <w:left w:w="108" w:type="dxa"/>
            <w:bottom w:w="0" w:type="dxa"/>
            <w:right w:w="108" w:type="dxa"/>
          </w:tblCellMar>
        </w:tblPrEx>
        <w:trPr>
          <w:trHeight w:val="600" w:hRule="atLeast"/>
        </w:trPr>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项目名称</w:t>
            </w:r>
          </w:p>
        </w:tc>
        <w:tc>
          <w:tcPr>
            <w:tcW w:w="10224" w:type="dxa"/>
            <w:gridSpan w:val="9"/>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中央政法转移支付</w:t>
            </w:r>
          </w:p>
        </w:tc>
      </w:tr>
      <w:tr>
        <w:tblPrEx>
          <w:tblCellMar>
            <w:top w:w="0" w:type="dxa"/>
            <w:left w:w="108" w:type="dxa"/>
            <w:bottom w:w="0" w:type="dxa"/>
            <w:right w:w="108" w:type="dxa"/>
          </w:tblCellMar>
        </w:tblPrEx>
        <w:trPr>
          <w:trHeight w:val="600" w:hRule="atLeast"/>
        </w:trPr>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主管部门</w:t>
            </w:r>
          </w:p>
        </w:tc>
        <w:tc>
          <w:tcPr>
            <w:tcW w:w="506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霍城县人民法院</w:t>
            </w:r>
          </w:p>
        </w:tc>
        <w:tc>
          <w:tcPr>
            <w:tcW w:w="28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实施单位</w:t>
            </w:r>
          </w:p>
        </w:tc>
        <w:tc>
          <w:tcPr>
            <w:tcW w:w="227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霍城县人民法院</w:t>
            </w:r>
          </w:p>
        </w:tc>
      </w:tr>
      <w:tr>
        <w:tblPrEx>
          <w:tblCellMar>
            <w:top w:w="0" w:type="dxa"/>
            <w:left w:w="108" w:type="dxa"/>
            <w:bottom w:w="0" w:type="dxa"/>
            <w:right w:w="108" w:type="dxa"/>
          </w:tblCellMar>
        </w:tblPrEx>
        <w:trPr>
          <w:trHeight w:val="600" w:hRule="atLeast"/>
        </w:trPr>
        <w:tc>
          <w:tcPr>
            <w:tcW w:w="11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项目资金</w:t>
            </w:r>
            <w:r>
              <w:rPr>
                <w:rFonts w:hint="eastAsia" w:ascii="宋体" w:hAnsi="宋体" w:cs="宋体"/>
                <w:kern w:val="0"/>
                <w:sz w:val="24"/>
              </w:rPr>
              <w:br w:type="textWrapping"/>
            </w:r>
            <w:r>
              <w:rPr>
                <w:rFonts w:hint="eastAsia" w:ascii="宋体" w:hAnsi="宋体" w:cs="宋体"/>
                <w:kern w:val="0"/>
                <w:sz w:val="24"/>
              </w:rPr>
              <w:t>（万元）</w:t>
            </w:r>
          </w:p>
        </w:tc>
        <w:tc>
          <w:tcPr>
            <w:tcW w:w="23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w:t>
            </w: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年初预算数</w:t>
            </w:r>
          </w:p>
        </w:tc>
        <w:tc>
          <w:tcPr>
            <w:tcW w:w="13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全年预算数</w:t>
            </w:r>
          </w:p>
        </w:tc>
        <w:tc>
          <w:tcPr>
            <w:tcW w:w="28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全年执行数</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分值</w:t>
            </w:r>
          </w:p>
        </w:tc>
        <w:tc>
          <w:tcPr>
            <w:tcW w:w="6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执行率</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得分</w:t>
            </w:r>
          </w:p>
        </w:tc>
      </w:tr>
      <w:tr>
        <w:tblPrEx>
          <w:tblCellMar>
            <w:top w:w="0" w:type="dxa"/>
            <w:left w:w="108" w:type="dxa"/>
            <w:bottom w:w="0" w:type="dxa"/>
            <w:right w:w="108" w:type="dxa"/>
          </w:tblCellMar>
        </w:tblPrEx>
        <w:trPr>
          <w:trHeight w:val="600" w:hRule="atLeast"/>
        </w:trPr>
        <w:tc>
          <w:tcPr>
            <w:tcW w:w="11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2379"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4"/>
              </w:rPr>
            </w:pPr>
            <w:r>
              <w:rPr>
                <w:rFonts w:hint="eastAsia" w:ascii="宋体" w:hAnsi="宋体" w:cs="宋体"/>
                <w:kern w:val="0"/>
                <w:sz w:val="24"/>
              </w:rPr>
              <w:t>年度资金总额</w:t>
            </w: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250.42</w:t>
            </w:r>
          </w:p>
        </w:tc>
        <w:tc>
          <w:tcPr>
            <w:tcW w:w="13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250.42</w:t>
            </w:r>
          </w:p>
        </w:tc>
        <w:tc>
          <w:tcPr>
            <w:tcW w:w="2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250.42</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6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r>
      <w:tr>
        <w:tblPrEx>
          <w:tblCellMar>
            <w:top w:w="0" w:type="dxa"/>
            <w:left w:w="108" w:type="dxa"/>
            <w:bottom w:w="0" w:type="dxa"/>
            <w:right w:w="108" w:type="dxa"/>
          </w:tblCellMar>
        </w:tblPrEx>
        <w:trPr>
          <w:trHeight w:val="600" w:hRule="atLeast"/>
        </w:trPr>
        <w:tc>
          <w:tcPr>
            <w:tcW w:w="11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23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其中：当年财政拨款</w:t>
            </w: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250.42</w:t>
            </w:r>
          </w:p>
        </w:tc>
        <w:tc>
          <w:tcPr>
            <w:tcW w:w="13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250.42</w:t>
            </w:r>
          </w:p>
        </w:tc>
        <w:tc>
          <w:tcPr>
            <w:tcW w:w="2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250.42</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p>
        </w:tc>
        <w:tc>
          <w:tcPr>
            <w:tcW w:w="6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p>
        </w:tc>
      </w:tr>
      <w:tr>
        <w:tblPrEx>
          <w:tblCellMar>
            <w:top w:w="0" w:type="dxa"/>
            <w:left w:w="108" w:type="dxa"/>
            <w:bottom w:w="0" w:type="dxa"/>
            <w:right w:w="108" w:type="dxa"/>
          </w:tblCellMar>
        </w:tblPrEx>
        <w:trPr>
          <w:trHeight w:val="600" w:hRule="atLeast"/>
        </w:trPr>
        <w:tc>
          <w:tcPr>
            <w:tcW w:w="11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23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xml:space="preserve">      上年结转资金</w:t>
            </w: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0</w:t>
            </w:r>
          </w:p>
        </w:tc>
        <w:tc>
          <w:tcPr>
            <w:tcW w:w="13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0</w:t>
            </w:r>
          </w:p>
        </w:tc>
        <w:tc>
          <w:tcPr>
            <w:tcW w:w="28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0</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p>
        </w:tc>
        <w:tc>
          <w:tcPr>
            <w:tcW w:w="6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p>
        </w:tc>
      </w:tr>
      <w:tr>
        <w:tblPrEx>
          <w:tblCellMar>
            <w:top w:w="0" w:type="dxa"/>
            <w:left w:w="108" w:type="dxa"/>
            <w:bottom w:w="0" w:type="dxa"/>
            <w:right w:w="108" w:type="dxa"/>
          </w:tblCellMar>
        </w:tblPrEx>
        <w:trPr>
          <w:trHeight w:val="600" w:hRule="atLeast"/>
        </w:trPr>
        <w:tc>
          <w:tcPr>
            <w:tcW w:w="11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23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xml:space="preserve">  其他资金</w:t>
            </w: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0</w:t>
            </w:r>
          </w:p>
        </w:tc>
        <w:tc>
          <w:tcPr>
            <w:tcW w:w="13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0</w:t>
            </w:r>
          </w:p>
        </w:tc>
        <w:tc>
          <w:tcPr>
            <w:tcW w:w="28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0</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p>
        </w:tc>
        <w:tc>
          <w:tcPr>
            <w:tcW w:w="6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p>
        </w:tc>
      </w:tr>
      <w:tr>
        <w:tblPrEx>
          <w:tblCellMar>
            <w:top w:w="0" w:type="dxa"/>
            <w:left w:w="108" w:type="dxa"/>
            <w:bottom w:w="0" w:type="dxa"/>
            <w:right w:w="108" w:type="dxa"/>
          </w:tblCellMar>
        </w:tblPrEx>
        <w:trPr>
          <w:trHeight w:val="600" w:hRule="atLeast"/>
        </w:trPr>
        <w:tc>
          <w:tcPr>
            <w:tcW w:w="4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年度总体目标</w:t>
            </w:r>
          </w:p>
        </w:tc>
        <w:tc>
          <w:tcPr>
            <w:tcW w:w="721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预期目标</w:t>
            </w:r>
          </w:p>
        </w:tc>
        <w:tc>
          <w:tcPr>
            <w:tcW w:w="364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实际完成情况</w:t>
            </w:r>
          </w:p>
        </w:tc>
      </w:tr>
      <w:tr>
        <w:tblPrEx>
          <w:tblCellMar>
            <w:top w:w="0" w:type="dxa"/>
            <w:left w:w="108" w:type="dxa"/>
            <w:bottom w:w="0" w:type="dxa"/>
            <w:right w:w="108" w:type="dxa"/>
          </w:tblCellMar>
        </w:tblPrEx>
        <w:trPr>
          <w:trHeight w:val="1939" w:hRule="atLeast"/>
        </w:trPr>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7219" w:type="dxa"/>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以服务为要务，以司法为宗旨，以努力让人民群众在每一个司法案件中感受到公平正义为目标，全面推进审判、执行工作，不断提高司法公信力，为实现“平安、芳香、文化、智慧、健康、美丽”霍城提供有利的司法保障</w:t>
            </w:r>
          </w:p>
        </w:tc>
        <w:tc>
          <w:tcPr>
            <w:tcW w:w="3641"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紧紧围绕“努力让人民群众在每一个司法案件中感受到公平正义”的工作目标，坚持司法为民公正司法，狠抓执法办案第一要务，深化司法公开，推进司法改革，加强队伍建设，全面依法履职。</w:t>
            </w:r>
          </w:p>
        </w:tc>
      </w:tr>
      <w:tr>
        <w:tblPrEx>
          <w:tblCellMar>
            <w:top w:w="0" w:type="dxa"/>
            <w:left w:w="108" w:type="dxa"/>
            <w:bottom w:w="0" w:type="dxa"/>
            <w:right w:w="108" w:type="dxa"/>
          </w:tblCellMar>
        </w:tblPrEx>
        <w:trPr>
          <w:trHeight w:val="1350" w:hRule="atLeast"/>
        </w:trPr>
        <w:tc>
          <w:tcPr>
            <w:tcW w:w="48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绩</w:t>
            </w:r>
            <w:r>
              <w:rPr>
                <w:rFonts w:hint="eastAsia" w:ascii="宋体" w:hAnsi="宋体" w:cs="宋体"/>
                <w:kern w:val="0"/>
                <w:sz w:val="24"/>
              </w:rPr>
              <w:br w:type="textWrapping"/>
            </w:r>
            <w:r>
              <w:rPr>
                <w:rFonts w:hint="eastAsia" w:ascii="宋体" w:hAnsi="宋体" w:cs="宋体"/>
                <w:kern w:val="0"/>
                <w:sz w:val="24"/>
              </w:rPr>
              <w:br w:type="textWrapping"/>
            </w:r>
            <w:r>
              <w:rPr>
                <w:rFonts w:hint="eastAsia" w:ascii="宋体" w:hAnsi="宋体" w:cs="宋体"/>
                <w:kern w:val="0"/>
                <w:sz w:val="24"/>
              </w:rPr>
              <w:t>效</w:t>
            </w:r>
            <w:r>
              <w:rPr>
                <w:rFonts w:hint="eastAsia" w:ascii="宋体" w:hAnsi="宋体" w:cs="宋体"/>
                <w:kern w:val="0"/>
                <w:sz w:val="24"/>
              </w:rPr>
              <w:br w:type="textWrapping"/>
            </w:r>
            <w:r>
              <w:rPr>
                <w:rFonts w:hint="eastAsia" w:ascii="宋体" w:hAnsi="宋体" w:cs="宋体"/>
                <w:kern w:val="0"/>
                <w:sz w:val="24"/>
              </w:rPr>
              <w:br w:type="textWrapping"/>
            </w:r>
            <w:r>
              <w:rPr>
                <w:rFonts w:hint="eastAsia" w:ascii="宋体" w:hAnsi="宋体" w:cs="宋体"/>
                <w:kern w:val="0"/>
                <w:sz w:val="24"/>
              </w:rPr>
              <w:t>指</w:t>
            </w:r>
            <w:r>
              <w:rPr>
                <w:rFonts w:hint="eastAsia" w:ascii="宋体" w:hAnsi="宋体" w:cs="宋体"/>
                <w:kern w:val="0"/>
                <w:sz w:val="24"/>
              </w:rPr>
              <w:br w:type="textWrapping"/>
            </w:r>
            <w:r>
              <w:rPr>
                <w:rFonts w:hint="eastAsia" w:ascii="宋体" w:hAnsi="宋体" w:cs="宋体"/>
                <w:kern w:val="0"/>
                <w:sz w:val="24"/>
              </w:rPr>
              <w:br w:type="textWrapping"/>
            </w:r>
            <w:r>
              <w:rPr>
                <w:rFonts w:hint="eastAsia" w:ascii="宋体" w:hAnsi="宋体" w:cs="宋体"/>
                <w:kern w:val="0"/>
                <w:sz w:val="24"/>
              </w:rPr>
              <w:t>标</w:t>
            </w:r>
          </w:p>
        </w:tc>
        <w:tc>
          <w:tcPr>
            <w:tcW w:w="6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一级指标</w:t>
            </w:r>
          </w:p>
        </w:tc>
        <w:tc>
          <w:tcPr>
            <w:tcW w:w="51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权重分</w:t>
            </w:r>
          </w:p>
        </w:tc>
        <w:tc>
          <w:tcPr>
            <w:tcW w:w="18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二级指标</w:t>
            </w:r>
          </w:p>
        </w:tc>
        <w:tc>
          <w:tcPr>
            <w:tcW w:w="26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三级指标</w:t>
            </w:r>
          </w:p>
        </w:tc>
        <w:tc>
          <w:tcPr>
            <w:tcW w:w="15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年度</w:t>
            </w:r>
          </w:p>
        </w:tc>
        <w:tc>
          <w:tcPr>
            <w:tcW w:w="13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实际</w:t>
            </w:r>
          </w:p>
        </w:tc>
        <w:tc>
          <w:tcPr>
            <w:tcW w:w="5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分值</w:t>
            </w:r>
          </w:p>
        </w:tc>
        <w:tc>
          <w:tcPr>
            <w:tcW w:w="69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得分</w:t>
            </w:r>
          </w:p>
        </w:tc>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偏差原因分析及改进措施</w:t>
            </w:r>
          </w:p>
        </w:tc>
      </w:tr>
      <w:tr>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6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8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26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5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指标值</w:t>
            </w:r>
          </w:p>
        </w:tc>
        <w:tc>
          <w:tcPr>
            <w:tcW w:w="13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完成值</w:t>
            </w:r>
          </w:p>
        </w:tc>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1335"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636"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产出指标</w:t>
            </w:r>
          </w:p>
        </w:tc>
        <w:tc>
          <w:tcPr>
            <w:tcW w:w="519"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50分</w:t>
            </w:r>
          </w:p>
        </w:tc>
        <w:tc>
          <w:tcPr>
            <w:tcW w:w="1860"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数量指标</w:t>
            </w:r>
          </w:p>
        </w:tc>
        <w:tc>
          <w:tcPr>
            <w:tcW w:w="26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坚持公正与效率相统一，严格依法办案，维护司法公正。在依法处理的基础上高效审理案件，不断缩短诉讼周期，切实减轻群众“诉累”问题。</w:t>
            </w:r>
          </w:p>
        </w:tc>
        <w:tc>
          <w:tcPr>
            <w:tcW w:w="15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≥98%</w:t>
            </w:r>
          </w:p>
        </w:tc>
        <w:tc>
          <w:tcPr>
            <w:tcW w:w="13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100%</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w:t>
            </w:r>
          </w:p>
        </w:tc>
        <w:tc>
          <w:tcPr>
            <w:tcW w:w="6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无</w:t>
            </w:r>
          </w:p>
        </w:tc>
      </w:tr>
      <w:tr>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636"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51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186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时效指标</w:t>
            </w:r>
          </w:p>
        </w:tc>
        <w:tc>
          <w:tcPr>
            <w:tcW w:w="2682" w:type="dxa"/>
            <w:gridSpan w:val="2"/>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2018年度内本项目各项预算目标顺利完成，有力保障了单位审判执行等各项工作顺利开展。</w:t>
            </w:r>
          </w:p>
        </w:tc>
        <w:tc>
          <w:tcPr>
            <w:tcW w:w="152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≥100%</w:t>
            </w:r>
          </w:p>
        </w:tc>
        <w:tc>
          <w:tcPr>
            <w:tcW w:w="13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100%</w:t>
            </w:r>
          </w:p>
        </w:tc>
        <w:tc>
          <w:tcPr>
            <w:tcW w:w="58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696"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无</w:t>
            </w:r>
          </w:p>
        </w:tc>
      </w:tr>
      <w:tr>
        <w:tblPrEx>
          <w:tblCellMar>
            <w:top w:w="0" w:type="dxa"/>
            <w:left w:w="108" w:type="dxa"/>
            <w:bottom w:w="0" w:type="dxa"/>
            <w:right w:w="108" w:type="dxa"/>
          </w:tblCellMar>
        </w:tblPrEx>
        <w:trPr>
          <w:trHeight w:val="795"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636"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51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18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color w:val="000000"/>
                <w:kern w:val="0"/>
                <w:sz w:val="24"/>
              </w:rPr>
            </w:pPr>
          </w:p>
        </w:tc>
        <w:tc>
          <w:tcPr>
            <w:tcW w:w="26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2018年1月1日</w:t>
            </w:r>
          </w:p>
        </w:tc>
        <w:tc>
          <w:tcPr>
            <w:tcW w:w="15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≥100%</w:t>
            </w:r>
          </w:p>
        </w:tc>
        <w:tc>
          <w:tcPr>
            <w:tcW w:w="13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100%</w:t>
            </w:r>
          </w:p>
        </w:tc>
        <w:tc>
          <w:tcPr>
            <w:tcW w:w="58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696"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735"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636"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51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18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color w:val="000000"/>
                <w:kern w:val="0"/>
                <w:sz w:val="24"/>
              </w:rPr>
            </w:pPr>
          </w:p>
        </w:tc>
        <w:tc>
          <w:tcPr>
            <w:tcW w:w="2682" w:type="dxa"/>
            <w:gridSpan w:val="2"/>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2018年12月31日</w:t>
            </w:r>
          </w:p>
        </w:tc>
        <w:tc>
          <w:tcPr>
            <w:tcW w:w="152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100%</w:t>
            </w:r>
          </w:p>
        </w:tc>
        <w:tc>
          <w:tcPr>
            <w:tcW w:w="13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100%</w:t>
            </w:r>
          </w:p>
        </w:tc>
        <w:tc>
          <w:tcPr>
            <w:tcW w:w="58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696"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无</w:t>
            </w:r>
          </w:p>
        </w:tc>
      </w:tr>
      <w:tr>
        <w:tblPrEx>
          <w:tblCellMar>
            <w:top w:w="0" w:type="dxa"/>
            <w:left w:w="108" w:type="dxa"/>
            <w:bottom w:w="0" w:type="dxa"/>
            <w:right w:w="108" w:type="dxa"/>
          </w:tblCellMar>
        </w:tblPrEx>
        <w:trPr>
          <w:trHeight w:val="859"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636"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51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186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成本指标</w:t>
            </w:r>
          </w:p>
        </w:tc>
        <w:tc>
          <w:tcPr>
            <w:tcW w:w="2682" w:type="dxa"/>
            <w:gridSpan w:val="2"/>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支付办公费用修费等</w:t>
            </w:r>
          </w:p>
        </w:tc>
        <w:tc>
          <w:tcPr>
            <w:tcW w:w="152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≥96%</w:t>
            </w:r>
          </w:p>
        </w:tc>
        <w:tc>
          <w:tcPr>
            <w:tcW w:w="13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82%</w:t>
            </w:r>
          </w:p>
        </w:tc>
        <w:tc>
          <w:tcPr>
            <w:tcW w:w="58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696"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9</w:t>
            </w:r>
          </w:p>
        </w:tc>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无</w:t>
            </w:r>
          </w:p>
        </w:tc>
      </w:tr>
      <w:tr>
        <w:tblPrEx>
          <w:tblCellMar>
            <w:top w:w="0" w:type="dxa"/>
            <w:left w:w="108" w:type="dxa"/>
            <w:bottom w:w="0" w:type="dxa"/>
            <w:right w:w="108" w:type="dxa"/>
          </w:tblCellMar>
        </w:tblPrEx>
        <w:trPr>
          <w:trHeight w:val="859"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636"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51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186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4"/>
              </w:rPr>
            </w:pPr>
          </w:p>
        </w:tc>
        <w:tc>
          <w:tcPr>
            <w:tcW w:w="26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刑事案件民商事案件办理费用、执行费用、延伸司法服务，开展远程立案、远程调解、网上证据提交、网上信访投诉等工作。</w:t>
            </w:r>
          </w:p>
        </w:tc>
        <w:tc>
          <w:tcPr>
            <w:tcW w:w="15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≥96%</w:t>
            </w:r>
          </w:p>
        </w:tc>
        <w:tc>
          <w:tcPr>
            <w:tcW w:w="13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82%</w:t>
            </w:r>
          </w:p>
        </w:tc>
        <w:tc>
          <w:tcPr>
            <w:tcW w:w="58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696"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9</w:t>
            </w:r>
          </w:p>
        </w:tc>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1305"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636"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51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18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生态效益指标</w:t>
            </w:r>
          </w:p>
        </w:tc>
        <w:tc>
          <w:tcPr>
            <w:tcW w:w="26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无</w:t>
            </w:r>
          </w:p>
        </w:tc>
        <w:tc>
          <w:tcPr>
            <w:tcW w:w="15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3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58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w:t>
            </w:r>
          </w:p>
        </w:tc>
        <w:tc>
          <w:tcPr>
            <w:tcW w:w="696"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w:t>
            </w:r>
          </w:p>
        </w:tc>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945"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636"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51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18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可持续影响指标</w:t>
            </w:r>
          </w:p>
        </w:tc>
        <w:tc>
          <w:tcPr>
            <w:tcW w:w="2682" w:type="dxa"/>
            <w:gridSpan w:val="2"/>
            <w:tcBorders>
              <w:top w:val="single" w:color="auto" w:sz="4" w:space="0"/>
              <w:left w:val="nil"/>
              <w:bottom w:val="nil"/>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新疆伊犁州霍城县人民法院坚持践行司法为民，支持群众需求为重，群众利益为先的创新举措，提升便民利民的能力和水平</w:t>
            </w:r>
          </w:p>
        </w:tc>
        <w:tc>
          <w:tcPr>
            <w:tcW w:w="15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≥95%</w:t>
            </w:r>
          </w:p>
        </w:tc>
        <w:tc>
          <w:tcPr>
            <w:tcW w:w="13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95%</w:t>
            </w:r>
          </w:p>
        </w:tc>
        <w:tc>
          <w:tcPr>
            <w:tcW w:w="58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696"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无</w:t>
            </w:r>
          </w:p>
        </w:tc>
      </w:tr>
      <w:tr>
        <w:tblPrEx>
          <w:tblCellMar>
            <w:top w:w="0" w:type="dxa"/>
            <w:left w:w="108" w:type="dxa"/>
            <w:bottom w:w="0" w:type="dxa"/>
            <w:right w:w="108" w:type="dxa"/>
          </w:tblCellMar>
        </w:tblPrEx>
        <w:trPr>
          <w:trHeight w:val="870"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6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效益指标</w:t>
            </w:r>
          </w:p>
        </w:tc>
        <w:tc>
          <w:tcPr>
            <w:tcW w:w="5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30分</w:t>
            </w:r>
          </w:p>
        </w:tc>
        <w:tc>
          <w:tcPr>
            <w:tcW w:w="186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满意度指标</w:t>
            </w:r>
          </w:p>
        </w:tc>
        <w:tc>
          <w:tcPr>
            <w:tcW w:w="26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新疆伊犁州霍城县人民法院坚持践行司法为民，支持群众需求为重，群众利益为先的创新举措，提升便民利民的能力和水平</w:t>
            </w:r>
          </w:p>
        </w:tc>
        <w:tc>
          <w:tcPr>
            <w:tcW w:w="15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≥95%</w:t>
            </w:r>
          </w:p>
        </w:tc>
        <w:tc>
          <w:tcPr>
            <w:tcW w:w="13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持续改善</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6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无</w:t>
            </w:r>
          </w:p>
        </w:tc>
      </w:tr>
      <w:tr>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4"/>
              </w:rPr>
            </w:pPr>
          </w:p>
        </w:tc>
        <w:tc>
          <w:tcPr>
            <w:tcW w:w="636"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满意度指标</w:t>
            </w:r>
          </w:p>
        </w:tc>
        <w:tc>
          <w:tcPr>
            <w:tcW w:w="519"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10分</w:t>
            </w:r>
          </w:p>
        </w:tc>
        <w:tc>
          <w:tcPr>
            <w:tcW w:w="1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群众满意度</w:t>
            </w:r>
          </w:p>
        </w:tc>
        <w:tc>
          <w:tcPr>
            <w:tcW w:w="2682" w:type="dxa"/>
            <w:gridSpan w:val="2"/>
            <w:tcBorders>
              <w:top w:val="nil"/>
              <w:left w:val="nil"/>
              <w:bottom w:val="single" w:color="auto" w:sz="4" w:space="0"/>
              <w:right w:val="nil"/>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以服务为要务，以司法为民为宗旨，深入边远村镇达到维护社会稳定，化解矛盾纠纷。</w:t>
            </w:r>
          </w:p>
        </w:tc>
        <w:tc>
          <w:tcPr>
            <w:tcW w:w="152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≥98%　</w:t>
            </w:r>
          </w:p>
        </w:tc>
        <w:tc>
          <w:tcPr>
            <w:tcW w:w="13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98%</w:t>
            </w:r>
          </w:p>
        </w:tc>
        <w:tc>
          <w:tcPr>
            <w:tcW w:w="58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696"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无</w:t>
            </w:r>
          </w:p>
        </w:tc>
      </w:tr>
      <w:tr>
        <w:tblPrEx>
          <w:tblCellMar>
            <w:top w:w="0" w:type="dxa"/>
            <w:left w:w="108" w:type="dxa"/>
            <w:bottom w:w="0" w:type="dxa"/>
            <w:right w:w="108" w:type="dxa"/>
          </w:tblCellMar>
        </w:tblPrEx>
        <w:trPr>
          <w:trHeight w:val="600" w:hRule="atLeast"/>
        </w:trPr>
        <w:tc>
          <w:tcPr>
            <w:tcW w:w="4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总分</w:t>
            </w:r>
          </w:p>
        </w:tc>
        <w:tc>
          <w:tcPr>
            <w:tcW w:w="6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5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8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r>
              <w:rPr>
                <w:rFonts w:hint="eastAsia" w:ascii="宋体" w:hAnsi="宋体" w:cs="宋体"/>
                <w:kern w:val="0"/>
                <w:sz w:val="24"/>
              </w:rPr>
              <w:t>　</w:t>
            </w:r>
          </w:p>
        </w:tc>
        <w:tc>
          <w:tcPr>
            <w:tcW w:w="26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5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3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100</w:t>
            </w:r>
          </w:p>
        </w:tc>
        <w:tc>
          <w:tcPr>
            <w:tcW w:w="6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96</w:t>
            </w:r>
          </w:p>
        </w:tc>
        <w:tc>
          <w:tcPr>
            <w:tcW w:w="10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r>
              <w:rPr>
                <w:rFonts w:hint="eastAsia" w:ascii="宋体" w:hAnsi="宋体" w:cs="宋体"/>
                <w:kern w:val="0"/>
                <w:sz w:val="24"/>
              </w:rPr>
              <w:t>　</w:t>
            </w:r>
          </w:p>
        </w:tc>
      </w:tr>
    </w:tbl>
    <w:p>
      <w:pPr>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0" w:name="_Toc28903"/>
      <w:bookmarkStart w:id="1" w:name="_Toc22784"/>
      <w:r>
        <w:rPr>
          <w:rFonts w:hint="eastAsia" w:ascii="黑体" w:hAnsi="黑体" w:eastAsia="黑体"/>
          <w:sz w:val="32"/>
          <w:szCs w:val="32"/>
        </w:rPr>
        <w:t>第四部分 部门决算报表（见附表）</w:t>
      </w:r>
      <w:bookmarkEnd w:id="0"/>
      <w:bookmarkEnd w:id="1"/>
    </w:p>
    <w:p>
      <w:pPr>
        <w:ind w:firstLine="640" w:firstLineChars="200"/>
        <w:outlineLvl w:val="1"/>
        <w:rPr>
          <w:rFonts w:ascii="黑体" w:hAnsi="黑体" w:eastAsia="黑体" w:cs="宋体"/>
          <w:bCs/>
          <w:kern w:val="0"/>
          <w:sz w:val="32"/>
          <w:szCs w:val="32"/>
        </w:rPr>
      </w:pPr>
      <w:bookmarkStart w:id="2" w:name="_Toc6062"/>
      <w:bookmarkStart w:id="3" w:name="_Toc2183"/>
      <w:r>
        <w:rPr>
          <w:rFonts w:hint="eastAsia" w:ascii="黑体" w:hAnsi="黑体" w:eastAsia="黑体" w:cs="宋体"/>
          <w:bCs/>
          <w:kern w:val="0"/>
          <w:sz w:val="32"/>
          <w:szCs w:val="32"/>
        </w:rPr>
        <w:t>一、《收入支出决算总表》</w:t>
      </w:r>
      <w:bookmarkEnd w:id="2"/>
      <w:bookmarkEnd w:id="3"/>
    </w:p>
    <w:p>
      <w:pPr>
        <w:ind w:firstLine="640" w:firstLineChars="200"/>
        <w:outlineLvl w:val="1"/>
        <w:rPr>
          <w:rFonts w:ascii="黑体" w:hAnsi="黑体" w:eastAsia="黑体" w:cs="宋体"/>
          <w:bCs/>
          <w:kern w:val="0"/>
          <w:sz w:val="32"/>
          <w:szCs w:val="32"/>
        </w:rPr>
      </w:pPr>
      <w:bookmarkStart w:id="4" w:name="_Toc30364"/>
      <w:bookmarkStart w:id="5" w:name="_Toc24532"/>
      <w:r>
        <w:rPr>
          <w:rFonts w:hint="eastAsia" w:ascii="黑体" w:hAnsi="黑体" w:eastAsia="黑体" w:cs="宋体"/>
          <w:bCs/>
          <w:kern w:val="0"/>
          <w:sz w:val="32"/>
          <w:szCs w:val="32"/>
        </w:rPr>
        <w:t>二、《收入决算表》</w:t>
      </w:r>
      <w:bookmarkEnd w:id="4"/>
      <w:bookmarkEnd w:id="5"/>
    </w:p>
    <w:p>
      <w:pPr>
        <w:ind w:firstLine="640" w:firstLineChars="200"/>
        <w:outlineLvl w:val="1"/>
        <w:rPr>
          <w:rFonts w:ascii="黑体" w:hAnsi="黑体" w:eastAsia="黑体" w:cs="宋体"/>
          <w:bCs/>
          <w:kern w:val="0"/>
          <w:sz w:val="32"/>
          <w:szCs w:val="32"/>
        </w:rPr>
      </w:pPr>
      <w:bookmarkStart w:id="6" w:name="_Toc21304"/>
      <w:bookmarkStart w:id="7" w:name="_Toc32434"/>
      <w:r>
        <w:rPr>
          <w:rFonts w:hint="eastAsia" w:ascii="黑体" w:hAnsi="黑体" w:eastAsia="黑体" w:cs="宋体"/>
          <w:bCs/>
          <w:kern w:val="0"/>
          <w:sz w:val="32"/>
          <w:szCs w:val="32"/>
        </w:rPr>
        <w:t>三、《支出决算表》</w:t>
      </w:r>
      <w:bookmarkEnd w:id="6"/>
      <w:bookmarkEnd w:id="7"/>
    </w:p>
    <w:p>
      <w:pPr>
        <w:ind w:firstLine="640" w:firstLineChars="200"/>
        <w:outlineLvl w:val="1"/>
        <w:rPr>
          <w:rFonts w:ascii="黑体" w:hAnsi="黑体" w:eastAsia="黑体" w:cs="宋体"/>
          <w:bCs/>
          <w:kern w:val="0"/>
          <w:sz w:val="32"/>
          <w:szCs w:val="32"/>
        </w:rPr>
      </w:pPr>
      <w:bookmarkStart w:id="8" w:name="_Toc28786"/>
      <w:bookmarkStart w:id="9" w:name="_Toc14238"/>
      <w:r>
        <w:rPr>
          <w:rFonts w:hint="eastAsia" w:ascii="黑体" w:hAnsi="黑体" w:eastAsia="黑体" w:cs="宋体"/>
          <w:bCs/>
          <w:kern w:val="0"/>
          <w:sz w:val="32"/>
          <w:szCs w:val="32"/>
        </w:rPr>
        <w:t>四、《财政拨款收入支出决算总表》</w:t>
      </w:r>
      <w:bookmarkEnd w:id="8"/>
      <w:bookmarkEnd w:id="9"/>
    </w:p>
    <w:p>
      <w:pPr>
        <w:ind w:firstLine="640" w:firstLineChars="200"/>
        <w:outlineLvl w:val="1"/>
        <w:rPr>
          <w:rFonts w:ascii="黑体" w:hAnsi="黑体" w:eastAsia="黑体" w:cs="宋体"/>
          <w:bCs/>
          <w:kern w:val="0"/>
          <w:sz w:val="32"/>
          <w:szCs w:val="32"/>
        </w:rPr>
      </w:pPr>
      <w:bookmarkStart w:id="10" w:name="_Toc14869"/>
      <w:bookmarkStart w:id="11" w:name="_Toc10347"/>
      <w:r>
        <w:rPr>
          <w:rFonts w:hint="eastAsia" w:ascii="黑体" w:hAnsi="黑体" w:eastAsia="黑体" w:cs="宋体"/>
          <w:bCs/>
          <w:kern w:val="0"/>
          <w:sz w:val="32"/>
          <w:szCs w:val="32"/>
        </w:rPr>
        <w:t>五、《一般公共预算财政拨款支出决算表》</w:t>
      </w:r>
      <w:bookmarkEnd w:id="10"/>
      <w:bookmarkEnd w:id="11"/>
    </w:p>
    <w:p>
      <w:pPr>
        <w:ind w:firstLine="640" w:firstLineChars="200"/>
        <w:outlineLvl w:val="1"/>
        <w:rPr>
          <w:rFonts w:ascii="黑体" w:hAnsi="黑体" w:eastAsia="黑体" w:cs="宋体"/>
          <w:bCs/>
          <w:kern w:val="0"/>
          <w:sz w:val="32"/>
          <w:szCs w:val="32"/>
        </w:rPr>
      </w:pPr>
      <w:bookmarkStart w:id="12" w:name="_Toc5626"/>
      <w:bookmarkStart w:id="13" w:name="_Toc8884"/>
      <w:r>
        <w:rPr>
          <w:rFonts w:hint="eastAsia" w:ascii="黑体" w:hAnsi="黑体" w:eastAsia="黑体" w:cs="宋体"/>
          <w:bCs/>
          <w:kern w:val="0"/>
          <w:sz w:val="32"/>
          <w:szCs w:val="32"/>
        </w:rPr>
        <w:t>六、《一般公共预算财政拨款基本支出决算表》</w:t>
      </w:r>
      <w:bookmarkEnd w:id="12"/>
      <w:bookmarkEnd w:id="13"/>
    </w:p>
    <w:p>
      <w:pPr>
        <w:ind w:firstLine="640" w:firstLineChars="200"/>
        <w:outlineLvl w:val="1"/>
        <w:rPr>
          <w:rFonts w:ascii="黑体" w:hAnsi="黑体" w:eastAsia="黑体" w:cs="宋体"/>
          <w:bCs/>
          <w:kern w:val="0"/>
          <w:sz w:val="32"/>
          <w:szCs w:val="32"/>
        </w:rPr>
      </w:pPr>
      <w:bookmarkStart w:id="14" w:name="_Toc29106"/>
      <w:bookmarkStart w:id="15" w:name="_Toc32663"/>
      <w:r>
        <w:rPr>
          <w:rFonts w:hint="eastAsia" w:ascii="黑体" w:hAnsi="黑体" w:eastAsia="黑体" w:cs="宋体"/>
          <w:bCs/>
          <w:kern w:val="0"/>
          <w:sz w:val="32"/>
          <w:szCs w:val="32"/>
        </w:rPr>
        <w:t>七、《一般公共预算财政拨款“三公”经费支出决算表》</w:t>
      </w:r>
      <w:bookmarkEnd w:id="14"/>
      <w:bookmarkEnd w:id="15"/>
    </w:p>
    <w:p>
      <w:pPr>
        <w:ind w:firstLine="640" w:firstLineChars="200"/>
        <w:outlineLvl w:val="1"/>
        <w:rPr>
          <w:rFonts w:ascii="黑体" w:hAnsi="黑体" w:eastAsia="黑体" w:cs="宋体"/>
          <w:bCs/>
          <w:kern w:val="0"/>
          <w:sz w:val="32"/>
          <w:szCs w:val="32"/>
        </w:rPr>
      </w:pPr>
      <w:bookmarkStart w:id="16" w:name="_Toc7643"/>
      <w:bookmarkStart w:id="17" w:name="_Toc5453"/>
      <w:r>
        <w:rPr>
          <w:rFonts w:hint="eastAsia" w:ascii="黑体" w:hAnsi="黑体" w:eastAsia="黑体" w:cs="宋体"/>
          <w:bCs/>
          <w:kern w:val="0"/>
          <w:sz w:val="32"/>
          <w:szCs w:val="32"/>
        </w:rPr>
        <w:t>八、《政府性基金预算财政拨款收入支出决算表》</w:t>
      </w:r>
      <w:bookmarkEnd w:id="16"/>
      <w:bookmarkEnd w:id="17"/>
    </w:p>
    <w:sectPr>
      <w:footerReference r:id="rId3"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44085"/>
    <w:rsid w:val="00015341"/>
    <w:rsid w:val="00034FC8"/>
    <w:rsid w:val="00054B86"/>
    <w:rsid w:val="00056604"/>
    <w:rsid w:val="000A1F9E"/>
    <w:rsid w:val="000B4D99"/>
    <w:rsid w:val="000D327C"/>
    <w:rsid w:val="00126D47"/>
    <w:rsid w:val="00197EB4"/>
    <w:rsid w:val="001D7DE3"/>
    <w:rsid w:val="001E387F"/>
    <w:rsid w:val="00203B4A"/>
    <w:rsid w:val="00203B8E"/>
    <w:rsid w:val="00257C46"/>
    <w:rsid w:val="002B0D8F"/>
    <w:rsid w:val="002C4A14"/>
    <w:rsid w:val="002E2F25"/>
    <w:rsid w:val="003143D1"/>
    <w:rsid w:val="0033095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97FDC"/>
    <w:rsid w:val="00602421"/>
    <w:rsid w:val="00617A6C"/>
    <w:rsid w:val="0065381A"/>
    <w:rsid w:val="00694170"/>
    <w:rsid w:val="006D1EB8"/>
    <w:rsid w:val="00752542"/>
    <w:rsid w:val="0076245D"/>
    <w:rsid w:val="007716BE"/>
    <w:rsid w:val="0079328D"/>
    <w:rsid w:val="007A29F3"/>
    <w:rsid w:val="007A3352"/>
    <w:rsid w:val="008A1D36"/>
    <w:rsid w:val="008E0BE2"/>
    <w:rsid w:val="009251F7"/>
    <w:rsid w:val="009764A8"/>
    <w:rsid w:val="00985B11"/>
    <w:rsid w:val="009A2AF5"/>
    <w:rsid w:val="009E51FD"/>
    <w:rsid w:val="00A41D58"/>
    <w:rsid w:val="00A94CDE"/>
    <w:rsid w:val="00AC1B7A"/>
    <w:rsid w:val="00AC7C38"/>
    <w:rsid w:val="00AF26D1"/>
    <w:rsid w:val="00B562C4"/>
    <w:rsid w:val="00B92BC8"/>
    <w:rsid w:val="00BE2864"/>
    <w:rsid w:val="00BE686A"/>
    <w:rsid w:val="00C0361D"/>
    <w:rsid w:val="00C06295"/>
    <w:rsid w:val="00C24EF4"/>
    <w:rsid w:val="00CD1B13"/>
    <w:rsid w:val="00D6662F"/>
    <w:rsid w:val="00D75105"/>
    <w:rsid w:val="00D803A8"/>
    <w:rsid w:val="00DA302A"/>
    <w:rsid w:val="00DA7B33"/>
    <w:rsid w:val="00DE468A"/>
    <w:rsid w:val="00E2499A"/>
    <w:rsid w:val="00E56879"/>
    <w:rsid w:val="00E85F32"/>
    <w:rsid w:val="00ED26EA"/>
    <w:rsid w:val="00EF3F7E"/>
    <w:rsid w:val="00F138DF"/>
    <w:rsid w:val="00F279B8"/>
    <w:rsid w:val="00F60976"/>
    <w:rsid w:val="00FB7AD5"/>
    <w:rsid w:val="1C663747"/>
    <w:rsid w:val="2E7C1A83"/>
    <w:rsid w:val="3F9E30A5"/>
    <w:rsid w:val="5A573699"/>
    <w:rsid w:val="663C5C67"/>
    <w:rsid w:val="71045EA4"/>
    <w:rsid w:val="77F22246"/>
    <w:rsid w:val="7B524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973</Words>
  <Characters>5549</Characters>
  <Lines>46</Lines>
  <Paragraphs>13</Paragraphs>
  <TotalTime>11</TotalTime>
  <ScaleCrop>false</ScaleCrop>
  <LinksUpToDate>false</LinksUpToDate>
  <CharactersWithSpaces>6509</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2020-08-16T12:24:00Z</dcterms:created>
  <dc:creator>胡 锦岩</dc:creator>
  <cp:lastModifiedBy>Administrator</cp:lastModifiedBy>
  <dcterms:modified xsi:type="dcterms:W3CDTF">2021-07-06T10:54:37Z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9CEFABB8D70240BF8ED6F7F44ACE124A</vt:lpwstr>
  </property>
</Properties>
</file>