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DC" w:rsidRDefault="000F043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交通运输局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政府信息公开工作年度报告</w:t>
      </w:r>
    </w:p>
    <w:p w:rsidR="004629DC" w:rsidRDefault="004629D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629DC" w:rsidRDefault="000F0435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总体情况</w:t>
      </w:r>
    </w:p>
    <w:p w:rsidR="004629DC" w:rsidRDefault="000F043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年度，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霍城县交通运输局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坚持以习近平新时代中国特色社会主义思想为指导，认真贯彻落实《中华人民共和国政府信息公开条例》，立足行业部门职责，持续加强信息公开，主动接受社会监督，确保政府信息公开各项要求落到实处。定期收集整理行政法规和规章，按照业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负责人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收集、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分管领导审核后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办公室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核、主管领导审签的程序和原则进行逐项审核，报送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人民政府网站进行集中公示，并定期更新。加强政务新媒体建设管理，拓宽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交通运输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政策法规宣传渠道，持续做好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交通运输局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领域行政法规和规章线上宣传工作。</w:t>
      </w:r>
    </w:p>
    <w:p w:rsidR="004629DC" w:rsidRDefault="000F043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日，在县人民政府网站公示了霍城县交通运输局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年政府信息公开工作年度报告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4629DC" w:rsidRDefault="000F043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人民政府网站公示了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霍城县交通运输局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年部门预算公开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4629DC" w:rsidRDefault="000F043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3.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人民政府网站公示了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关于对霍城县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家重点货运源头监管企业的公示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4629DC" w:rsidRDefault="000F043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4.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人民政府网站公示了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《巡游出租汽车经营服务管理规定》。</w:t>
      </w:r>
    </w:p>
    <w:p w:rsidR="004629DC" w:rsidRDefault="000F043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5.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人民政府网站公示了关于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霍城县辖区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180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天未投入车辆的道路货物运输业户及道路运输经营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许可证件过期注销的公告。</w:t>
      </w:r>
    </w:p>
    <w:p w:rsidR="004629DC" w:rsidRDefault="000F043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6.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人民政府网站公示了关于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对道路运输经营许可证件过期营运车辆年审逾期及车辆注销的公告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4629DC" w:rsidRDefault="000F043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7.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人民政府网站公示了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新伊犁霍县交执运政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{2024}0123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号行政处罚决定书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4629DC" w:rsidRDefault="000F043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8.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人民政府网站公示了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霍城县交通运输局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年部门预算公开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4629DC" w:rsidRDefault="000F043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9.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人民政府网站公示了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关于霍城县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年度农村客运补贴资金和城市交通发展奖励资金发放的公示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4629DC" w:rsidRDefault="000F043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10.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人民政府网站公示了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《中华人民共和国道路运输条例》。</w:t>
      </w:r>
    </w:p>
    <w:p w:rsidR="004629DC" w:rsidRDefault="000F043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11.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人民政府网站公示了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交通运输部、财政部关于实施老旧营运货车报废更新的通知。</w:t>
      </w:r>
    </w:p>
    <w:p w:rsidR="004629DC" w:rsidRDefault="000F043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12.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在信用中国网站</w:t>
      </w:r>
      <w:bookmarkStart w:id="0" w:name="_GoBack"/>
      <w:bookmarkEnd w:id="0"/>
      <w:r>
        <w:rPr>
          <w:rFonts w:ascii="方正仿宋简体" w:eastAsia="方正仿宋简体" w:hAnsi="方正仿宋简体" w:cs="方正仿宋简体" w:hint="eastAsia"/>
          <w:sz w:val="32"/>
          <w:szCs w:val="32"/>
        </w:rPr>
        <w:t>上公示了行政处罚、行政许可事项。</w:t>
      </w:r>
    </w:p>
    <w:p w:rsidR="004629DC" w:rsidRDefault="004629DC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</w:p>
    <w:p w:rsidR="004629DC" w:rsidRDefault="000F0435">
      <w:pPr>
        <w:spacing w:line="560" w:lineRule="exact"/>
        <w:ind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二、主动公开政府信息情况</w:t>
      </w:r>
    </w:p>
    <w:tbl>
      <w:tblPr>
        <w:tblW w:w="8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8"/>
        <w:gridCol w:w="2185"/>
        <w:gridCol w:w="1559"/>
        <w:gridCol w:w="1688"/>
      </w:tblGrid>
      <w:tr w:rsidR="004629DC">
        <w:trPr>
          <w:trHeight w:val="314"/>
          <w:jc w:val="center"/>
        </w:trPr>
        <w:tc>
          <w:tcPr>
            <w:tcW w:w="8140" w:type="dxa"/>
            <w:gridSpan w:val="4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第二十条第（一）项</w:t>
            </w:r>
          </w:p>
        </w:tc>
      </w:tr>
      <w:tr w:rsidR="004629DC">
        <w:trPr>
          <w:trHeight w:val="547"/>
          <w:jc w:val="center"/>
        </w:trPr>
        <w:tc>
          <w:tcPr>
            <w:tcW w:w="2708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信息内容</w:t>
            </w:r>
          </w:p>
        </w:tc>
        <w:tc>
          <w:tcPr>
            <w:tcW w:w="2185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本年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br/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制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发件数</w:t>
            </w:r>
          </w:p>
        </w:tc>
        <w:tc>
          <w:tcPr>
            <w:tcW w:w="1559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本年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废止件数</w:t>
            </w:r>
          </w:p>
        </w:tc>
        <w:tc>
          <w:tcPr>
            <w:tcW w:w="1688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现行有效件数</w:t>
            </w:r>
          </w:p>
        </w:tc>
      </w:tr>
      <w:tr w:rsidR="004629DC">
        <w:trPr>
          <w:trHeight w:val="345"/>
          <w:jc w:val="center"/>
        </w:trPr>
        <w:tc>
          <w:tcPr>
            <w:tcW w:w="2708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规章</w:t>
            </w:r>
          </w:p>
        </w:tc>
        <w:tc>
          <w:tcPr>
            <w:tcW w:w="2185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4629DC">
        <w:trPr>
          <w:trHeight w:val="182"/>
          <w:jc w:val="center"/>
        </w:trPr>
        <w:tc>
          <w:tcPr>
            <w:tcW w:w="2708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规范性文件</w:t>
            </w:r>
          </w:p>
        </w:tc>
        <w:tc>
          <w:tcPr>
            <w:tcW w:w="2185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4629DC">
        <w:trPr>
          <w:trHeight w:val="480"/>
          <w:jc w:val="center"/>
        </w:trPr>
        <w:tc>
          <w:tcPr>
            <w:tcW w:w="8140" w:type="dxa"/>
            <w:gridSpan w:val="4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第二十条第（五）项</w:t>
            </w:r>
          </w:p>
        </w:tc>
      </w:tr>
      <w:tr w:rsidR="004629DC">
        <w:trPr>
          <w:trHeight w:val="54"/>
          <w:jc w:val="center"/>
        </w:trPr>
        <w:tc>
          <w:tcPr>
            <w:tcW w:w="2708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本年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处理决定数量</w:t>
            </w:r>
          </w:p>
        </w:tc>
      </w:tr>
      <w:tr w:rsidR="004629DC">
        <w:trPr>
          <w:trHeight w:val="174"/>
          <w:jc w:val="center"/>
        </w:trPr>
        <w:tc>
          <w:tcPr>
            <w:tcW w:w="2708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lastRenderedPageBreak/>
              <w:t>行政许可</w:t>
            </w:r>
          </w:p>
        </w:tc>
        <w:tc>
          <w:tcPr>
            <w:tcW w:w="5432" w:type="dxa"/>
            <w:gridSpan w:val="3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3</w:t>
            </w:r>
          </w:p>
        </w:tc>
      </w:tr>
      <w:tr w:rsidR="004629DC">
        <w:trPr>
          <w:trHeight w:val="406"/>
          <w:jc w:val="center"/>
        </w:trPr>
        <w:tc>
          <w:tcPr>
            <w:tcW w:w="8140" w:type="dxa"/>
            <w:gridSpan w:val="4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第二十条第（六）项</w:t>
            </w:r>
          </w:p>
        </w:tc>
      </w:tr>
      <w:tr w:rsidR="004629DC">
        <w:trPr>
          <w:trHeight w:val="317"/>
          <w:jc w:val="center"/>
        </w:trPr>
        <w:tc>
          <w:tcPr>
            <w:tcW w:w="2708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本年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处理决定数量</w:t>
            </w:r>
          </w:p>
        </w:tc>
      </w:tr>
      <w:tr w:rsidR="004629DC">
        <w:trPr>
          <w:trHeight w:val="430"/>
          <w:jc w:val="center"/>
        </w:trPr>
        <w:tc>
          <w:tcPr>
            <w:tcW w:w="2708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258</w:t>
            </w:r>
          </w:p>
        </w:tc>
      </w:tr>
      <w:tr w:rsidR="004629DC">
        <w:trPr>
          <w:trHeight w:val="250"/>
          <w:jc w:val="center"/>
        </w:trPr>
        <w:tc>
          <w:tcPr>
            <w:tcW w:w="2708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166</w:t>
            </w:r>
          </w:p>
        </w:tc>
      </w:tr>
      <w:tr w:rsidR="004629DC">
        <w:trPr>
          <w:trHeight w:val="474"/>
          <w:jc w:val="center"/>
        </w:trPr>
        <w:tc>
          <w:tcPr>
            <w:tcW w:w="8140" w:type="dxa"/>
            <w:gridSpan w:val="4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第二十条第（八）项</w:t>
            </w:r>
          </w:p>
        </w:tc>
      </w:tr>
      <w:tr w:rsidR="004629DC">
        <w:trPr>
          <w:trHeight w:val="321"/>
          <w:jc w:val="center"/>
        </w:trPr>
        <w:tc>
          <w:tcPr>
            <w:tcW w:w="2708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本年收费金额（单位：万元）</w:t>
            </w:r>
          </w:p>
        </w:tc>
      </w:tr>
      <w:tr w:rsidR="004629DC">
        <w:trPr>
          <w:trHeight w:val="114"/>
          <w:jc w:val="center"/>
        </w:trPr>
        <w:tc>
          <w:tcPr>
            <w:tcW w:w="2708" w:type="dxa"/>
            <w:shd w:val="clear" w:color="auto" w:fill="auto"/>
          </w:tcPr>
          <w:p w:rsidR="004629DC" w:rsidRDefault="000F0435">
            <w:pPr>
              <w:widowControl/>
              <w:spacing w:after="144"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shd w:val="clear" w:color="auto" w:fill="auto"/>
          </w:tcPr>
          <w:p w:rsidR="004629DC" w:rsidRDefault="004629DC">
            <w:pPr>
              <w:widowControl/>
              <w:spacing w:after="144"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</w:tbl>
    <w:p w:rsidR="004629DC" w:rsidRDefault="004629D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4629DC" w:rsidRDefault="000F0435">
      <w:pPr>
        <w:pStyle w:val="a5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宋体"/>
          <w:sz w:val="32"/>
          <w:szCs w:val="30"/>
        </w:rPr>
      </w:pPr>
      <w:r>
        <w:rPr>
          <w:rFonts w:ascii="黑体" w:eastAsia="黑体" w:hAnsi="黑体" w:cs="宋体" w:hint="eastAsia"/>
          <w:sz w:val="32"/>
          <w:szCs w:val="30"/>
        </w:rPr>
        <w:t>三、收到和处理政府信息公开申请情况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 w:rsidR="004629DC">
        <w:trPr>
          <w:trHeight w:val="181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申请人情况</w:t>
            </w:r>
          </w:p>
        </w:tc>
      </w:tr>
      <w:tr w:rsidR="004629DC">
        <w:trPr>
          <w:jc w:val="center"/>
        </w:trPr>
        <w:tc>
          <w:tcPr>
            <w:tcW w:w="5010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</w:tr>
      <w:tr w:rsidR="004629DC">
        <w:trPr>
          <w:trHeight w:val="774"/>
          <w:jc w:val="center"/>
        </w:trPr>
        <w:tc>
          <w:tcPr>
            <w:tcW w:w="5010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4629DC">
        <w:trPr>
          <w:trHeight w:val="262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trHeight w:val="287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trHeight w:val="435"/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trHeight w:val="479"/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6.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7.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trHeight w:val="150"/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8.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trHeight w:val="297"/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（四）无法提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lastRenderedPageBreak/>
              <w:t>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lastRenderedPageBreak/>
              <w:t>1.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spacing w:line="260" w:lineRule="exact"/>
              <w:rPr>
                <w:rFonts w:ascii="宋体" w:eastAsia="楷体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（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六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）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其他处理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申请人无正当理由逾期不补正、行政机关不再处理其政府信息公开申请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2.</w:t>
            </w: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申请人逾期未按收费通知要求缴纳费用、行政机关不再处理其政府信息公开申请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3.</w:t>
            </w:r>
            <w:r>
              <w:rPr>
                <w:rFonts w:ascii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其他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trHeight w:val="116"/>
          <w:jc w:val="center"/>
        </w:trPr>
        <w:tc>
          <w:tcPr>
            <w:tcW w:w="697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4629DC"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</w:tbl>
    <w:p w:rsidR="004629DC" w:rsidRDefault="000F0435" w:rsidP="004629DC">
      <w:pPr>
        <w:spacing w:line="560" w:lineRule="exact"/>
        <w:ind w:firstLineChars="199" w:firstLine="637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四、政府信息公开行政复议、行政诉讼情况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 w:rsidR="004629DC">
        <w:trPr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行政诉讼</w:t>
            </w:r>
          </w:p>
        </w:tc>
      </w:tr>
      <w:tr w:rsidR="004629DC"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复议后起诉</w:t>
            </w:r>
          </w:p>
        </w:tc>
      </w:tr>
      <w:tr w:rsidR="004629DC">
        <w:trPr>
          <w:jc w:val="center"/>
        </w:trPr>
        <w:tc>
          <w:tcPr>
            <w:tcW w:w="846" w:type="dxa"/>
            <w:vMerge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/>
            <w:tcMar>
              <w:left w:w="108" w:type="dxa"/>
              <w:right w:w="108" w:type="dxa"/>
            </w:tcMar>
            <w:vAlign w:val="center"/>
          </w:tcPr>
          <w:p w:rsidR="004629DC" w:rsidRDefault="004629DC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</w:tr>
      <w:tr w:rsidR="004629DC"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:rsidR="004629DC" w:rsidRDefault="000F0435"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</w:tbl>
    <w:p w:rsidR="004629DC" w:rsidRDefault="000F0435" w:rsidP="004629DC">
      <w:pPr>
        <w:numPr>
          <w:ilvl w:val="0"/>
          <w:numId w:val="2"/>
        </w:numPr>
        <w:spacing w:line="560" w:lineRule="exact"/>
        <w:ind w:firstLineChars="199" w:firstLine="637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存在的主要问题及改进情况</w:t>
      </w:r>
    </w:p>
    <w:p w:rsidR="004629DC" w:rsidRDefault="000F0435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年，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霍城县交通运输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局政务公开工作在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县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委、政府的坚强领导下，虽取得了一定成绩，但与社会公众对政府信息公开的需求还存在一定的差距，需要进一步提升和改进：针对政府信息公开中主动公开内容不够完善，更新不够及时的问题，安排专人负责政府信息公开工作，加强公示信息审批的跟办，确保相关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lastRenderedPageBreak/>
        <w:t>信息及时公示发布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进一步发挥政务新媒体作用。</w:t>
      </w:r>
    </w:p>
    <w:p w:rsidR="004629DC" w:rsidRDefault="000F0435" w:rsidP="004629DC">
      <w:pPr>
        <w:numPr>
          <w:ilvl w:val="0"/>
          <w:numId w:val="2"/>
        </w:numPr>
        <w:spacing w:line="560" w:lineRule="exact"/>
        <w:ind w:firstLineChars="199" w:firstLine="637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其他需要报告的事项</w:t>
      </w:r>
    </w:p>
    <w:p w:rsidR="004629DC" w:rsidRDefault="000F0435">
      <w:pPr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本机关按照《国务院办公厅关于印发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&lt;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政府信息公开信息处理费管理办法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&gt;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的通知》（国办函〔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2020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〕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109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号）规定的按件、按量收费标准，本年度没有产生信息公开处理费。</w:t>
      </w:r>
    </w:p>
    <w:p w:rsidR="004629DC" w:rsidRDefault="004629DC">
      <w:pPr>
        <w:ind w:firstLineChars="200" w:firstLine="640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</w:p>
    <w:p w:rsidR="004629DC" w:rsidRDefault="000F0435">
      <w:pPr>
        <w:ind w:firstLineChars="200" w:firstLine="640"/>
        <w:jc w:val="right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霍城县交通运输局</w:t>
      </w:r>
    </w:p>
    <w:p w:rsidR="004629DC" w:rsidRDefault="000F0435">
      <w:pPr>
        <w:ind w:firstLineChars="200" w:firstLine="640"/>
        <w:jc w:val="right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2025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26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shd w:val="clear" w:color="auto" w:fill="FFFFFF"/>
        </w:rPr>
        <w:t>日</w:t>
      </w:r>
    </w:p>
    <w:sectPr w:rsidR="004629DC" w:rsidSect="004629DC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435" w:rsidRDefault="000F0435" w:rsidP="004629DC">
      <w:r>
        <w:separator/>
      </w:r>
    </w:p>
  </w:endnote>
  <w:endnote w:type="continuationSeparator" w:id="0">
    <w:p w:rsidR="000F0435" w:rsidRDefault="000F0435" w:rsidP="00462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2009D29C-2A22-4780-94DD-1B52A51A6457}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841BDC9-207C-407D-B785-6BCDF29A6FB7}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2CF4825-DB0E-485A-B29B-07D405F972BE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DC" w:rsidRDefault="004629D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629DC" w:rsidRDefault="004629DC">
                <w:pPr>
                  <w:pStyle w:val="a3"/>
                  <w:rPr>
                    <w:rFonts w:ascii="Times New Roman" w:eastAsia="宋体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 w:rsidR="000F0435">
                  <w:rPr>
                    <w:rFonts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 w:rsidR="00153BCE">
                  <w:rPr>
                    <w:rFonts w:ascii="Times New Roman" w:hAnsi="Times New Roman" w:cs="Times New Roman"/>
                    <w:noProof/>
                    <w:sz w:val="21"/>
                    <w:szCs w:val="21"/>
                  </w:rPr>
                  <w:t>- 5 -</w: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435" w:rsidRDefault="000F0435" w:rsidP="004629DC">
      <w:r>
        <w:separator/>
      </w:r>
    </w:p>
  </w:footnote>
  <w:footnote w:type="continuationSeparator" w:id="0">
    <w:p w:rsidR="000F0435" w:rsidRDefault="000F0435" w:rsidP="00462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54A23E"/>
    <w:multiLevelType w:val="singleLevel"/>
    <w:tmpl w:val="A654A23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F8F2B1"/>
    <w:multiLevelType w:val="singleLevel"/>
    <w:tmpl w:val="0EF8F2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ᆀ̇ᨴ̇卆䵇覀ڽ㓍%鹦4蹦ꌴ'蹦ꌳ'٣$ᢄ̇卆䵇覜ڽ㓍%鹦4蹦ꌴ'ᤔ̇卆䵇覸ڽ㓍%鹦4蹦ꌴ'픅0ꌴ伳픅0᫄̇卆䵇觔ڽ㓍%鹦4蹦ꌴ'픅0ꌴ伳᭔̇卆䵇言ڽ㓍%鹦4蹦ꌴ'픅0ꌴ伳픅0ᆄ̇卆䵇訜ڽ㓍%鹦4蹦ꌴ'"/>
  </w:docVars>
  <w:rsids>
    <w:rsidRoot w:val="0D2A2B98"/>
    <w:rsid w:val="000F0435"/>
    <w:rsid w:val="00153BCE"/>
    <w:rsid w:val="004629DC"/>
    <w:rsid w:val="00E87DBA"/>
    <w:rsid w:val="0D2A2B98"/>
    <w:rsid w:val="1B0921EA"/>
    <w:rsid w:val="1DC030F1"/>
    <w:rsid w:val="1E651BEC"/>
    <w:rsid w:val="1F0720F7"/>
    <w:rsid w:val="20F84263"/>
    <w:rsid w:val="237D4E42"/>
    <w:rsid w:val="2F8A538D"/>
    <w:rsid w:val="33103C34"/>
    <w:rsid w:val="36B85A54"/>
    <w:rsid w:val="380A60A9"/>
    <w:rsid w:val="3A624DC3"/>
    <w:rsid w:val="3B3D58FA"/>
    <w:rsid w:val="4DAD5B2E"/>
    <w:rsid w:val="59A41FA0"/>
    <w:rsid w:val="5B6E1EEF"/>
    <w:rsid w:val="600439E1"/>
    <w:rsid w:val="64F94FB6"/>
    <w:rsid w:val="6A597824"/>
    <w:rsid w:val="72020F87"/>
    <w:rsid w:val="725C35AF"/>
    <w:rsid w:val="7391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9D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629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qFormat/>
    <w:rsid w:val="004629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4629D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sid w:val="004629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362</Words>
  <Characters>2069</Characters>
  <Application>Microsoft Office Word</Application>
  <DocSecurity>0</DocSecurity>
  <Lines>17</Lines>
  <Paragraphs>4</Paragraphs>
  <ScaleCrop>false</ScaleCrop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</dc:creator>
  <cp:lastModifiedBy>User</cp:lastModifiedBy>
  <cp:revision>2</cp:revision>
  <dcterms:created xsi:type="dcterms:W3CDTF">2025-02-12T04:43:00Z</dcterms:created>
  <dcterms:modified xsi:type="dcterms:W3CDTF">2025-02-12T04:43:00Z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78A90B1F79AE44DFB88E9CE6492D46F1</vt:lpwstr>
  </property>
</Properties>
</file>