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highlight w:val="none"/>
          <w:lang w:val="en-US" w:eastAsia="zh-CN"/>
        </w:rPr>
        <w:t>财政国库、信息化业务</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lang w:val="en-US" w:eastAsia="zh-CN"/>
        </w:rPr>
        <w:t>霍城县财政局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lang w:val="en-US" w:eastAsia="zh-CN"/>
        </w:rPr>
        <w:t>霍城县财政局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宋体"/>
          <w:kern w:val="0"/>
          <w:sz w:val="32"/>
          <w:szCs w:val="32"/>
          <w:lang w:val="en-US" w:eastAsia="zh-CN"/>
        </w:rPr>
        <w:t>何宏亮</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03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29</w:t>
      </w:r>
      <w:r>
        <w:rPr>
          <w:rFonts w:hint="eastAsia" w:ascii="宋体" w:hAnsi="宋体" w:eastAsia="宋体" w:cs="仿宋_GB2312"/>
          <w:color w:val="000000"/>
          <w:kern w:val="0"/>
          <w:sz w:val="32"/>
          <w:szCs w:val="32"/>
        </w:rPr>
        <w:t>日</w:t>
      </w:r>
    </w:p>
    <w:p>
      <w:pPr>
        <w:spacing w:line="560" w:lineRule="exact"/>
        <w:ind w:firstLine="320" w:firstLineChars="100"/>
        <w:rPr>
          <w:rFonts w:ascii="宋体" w:hAnsi="宋体" w:eastAsia="宋体" w:cs="仿宋_GB2312"/>
          <w:color w:val="000000"/>
          <w:kern w:val="0"/>
          <w:sz w:val="32"/>
          <w:szCs w:val="32"/>
        </w:rPr>
      </w:pP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4"/>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5"/>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pageBreakBefore w:val="0"/>
        <w:numPr>
          <w:ilvl w:val="0"/>
          <w:numId w:val="0"/>
        </w:numPr>
        <w:kinsoku/>
        <w:wordWrap/>
        <w:overflowPunct/>
        <w:topLinePunct w:val="0"/>
        <w:autoSpaceDE/>
        <w:autoSpaceDN/>
        <w:bidi w:val="0"/>
        <w:adjustRightInd/>
        <w:spacing w:line="360" w:lineRule="auto"/>
        <w:textAlignment w:val="auto"/>
      </w:pPr>
      <w:r>
        <w:rPr>
          <w:rFonts w:hint="eastAsia" w:ascii="Times New Roman" w:hAnsi="Times New Roman" w:cs="Times New Roman"/>
          <w:color w:val="auto"/>
          <w:lang w:val="en-US" w:eastAsia="zh-CN"/>
        </w:rPr>
        <w:t xml:space="preserve">    202</w:t>
      </w:r>
      <w:r>
        <w:rPr>
          <w:rFonts w:hint="eastAsia" w:cs="Times New Roman"/>
          <w:color w:val="auto"/>
          <w:lang w:val="en-US" w:eastAsia="zh-CN"/>
        </w:rPr>
        <w:t>2</w:t>
      </w:r>
      <w:r>
        <w:rPr>
          <w:rFonts w:hint="eastAsia" w:ascii="Times New Roman" w:hAnsi="Times New Roman" w:cs="Times New Roman"/>
          <w:color w:val="auto"/>
          <w:lang w:val="en-US" w:eastAsia="zh-CN"/>
        </w:rPr>
        <w:t>年，霍城县财政局根据县委、县政府工作指示，为确保财政工作有序进行，财政局财政综合业务支撑平台维护项目</w:t>
      </w:r>
      <w:r>
        <w:rPr>
          <w:rFonts w:hint="eastAsia" w:ascii="Times New Roman" w:hAnsi="Times New Roman" w:cs="Times New Roman"/>
          <w:color w:val="auto"/>
          <w:lang w:eastAsia="zh-CN"/>
        </w:rPr>
        <w:t>用于</w:t>
      </w:r>
      <w:r>
        <w:rPr>
          <w:rFonts w:hint="eastAsia" w:ascii="Times New Roman" w:hAnsi="Times New Roman" w:cs="Times New Roman"/>
          <w:color w:val="auto"/>
          <w:lang w:val="en-US" w:eastAsia="zh-CN"/>
        </w:rPr>
        <w:t>保障</w:t>
      </w:r>
      <w:r>
        <w:rPr>
          <w:rFonts w:hint="eastAsia" w:ascii="Times New Roman" w:hAnsi="Times New Roman" w:cs="Times New Roman"/>
          <w:color w:val="auto"/>
          <w:lang w:eastAsia="zh-CN"/>
        </w:rPr>
        <w:t>本县</w:t>
      </w:r>
      <w:r>
        <w:rPr>
          <w:rFonts w:hint="eastAsia" w:ascii="Times New Roman" w:hAnsi="Times New Roman" w:cs="Times New Roman"/>
          <w:color w:val="auto"/>
        </w:rPr>
        <w:t>财政</w:t>
      </w:r>
      <w:r>
        <w:rPr>
          <w:rFonts w:hint="eastAsia" w:ascii="Times New Roman" w:hAnsi="Times New Roman" w:cs="Times New Roman"/>
          <w:color w:val="auto"/>
          <w:lang w:val="en-US" w:eastAsia="zh-CN"/>
        </w:rPr>
        <w:t>各个</w:t>
      </w:r>
      <w:r>
        <w:rPr>
          <w:rFonts w:hint="eastAsia" w:ascii="Times New Roman" w:hAnsi="Times New Roman" w:cs="Times New Roman"/>
          <w:color w:val="auto"/>
        </w:rPr>
        <w:t>平台的</w:t>
      </w:r>
      <w:r>
        <w:rPr>
          <w:rFonts w:hint="eastAsia" w:ascii="Times New Roman" w:hAnsi="Times New Roman" w:cs="Times New Roman"/>
          <w:color w:val="auto"/>
          <w:lang w:eastAsia="zh-CN"/>
        </w:rPr>
        <w:t>日常</w:t>
      </w:r>
      <w:r>
        <w:rPr>
          <w:rFonts w:hint="eastAsia" w:ascii="Times New Roman" w:hAnsi="Times New Roman" w:cs="Times New Roman"/>
          <w:color w:val="auto"/>
        </w:rPr>
        <w:t>运行</w:t>
      </w:r>
      <w:r>
        <w:rPr>
          <w:rFonts w:hint="eastAsia" w:ascii="Times New Roman" w:hAnsi="Times New Roman" w:cs="Times New Roman"/>
          <w:color w:val="auto"/>
          <w:lang w:eastAsia="zh-CN"/>
        </w:rPr>
        <w:t>和日常</w:t>
      </w:r>
      <w:r>
        <w:rPr>
          <w:rFonts w:hint="eastAsia" w:ascii="Times New Roman" w:hAnsi="Times New Roman" w:cs="Times New Roman"/>
          <w:color w:val="auto"/>
        </w:rPr>
        <w:t>维护，保障财政预决算公开、预算编制工作、政府综合财务报告编制、预算绩效管理、债务工作管理等委托业务</w:t>
      </w:r>
      <w:r>
        <w:rPr>
          <w:rFonts w:hint="eastAsia" w:ascii="Times New Roman" w:hAnsi="Times New Roman" w:cs="Times New Roman"/>
          <w:color w:val="auto"/>
          <w:lang w:val="en-US" w:eastAsia="zh-CN"/>
        </w:rPr>
        <w:t>工作</w:t>
      </w:r>
      <w:r>
        <w:rPr>
          <w:rFonts w:hint="eastAsia" w:ascii="Times New Roman" w:hAnsi="Times New Roman" w:cs="Times New Roman"/>
          <w:color w:val="auto"/>
        </w:rPr>
        <w:t>正常开展</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保障</w:t>
      </w:r>
      <w:r>
        <w:rPr>
          <w:rFonts w:hint="eastAsia" w:ascii="Times New Roman" w:hAnsi="Times New Roman" w:cs="Times New Roman"/>
          <w:color w:val="auto"/>
          <w:lang w:eastAsia="zh-CN"/>
        </w:rPr>
        <w:t>本县</w:t>
      </w:r>
      <w:r>
        <w:rPr>
          <w:rFonts w:hint="eastAsia" w:ascii="Times New Roman" w:hAnsi="Times New Roman" w:cs="Times New Roman"/>
          <w:color w:val="auto"/>
          <w:lang w:val="en-US" w:eastAsia="zh-CN"/>
        </w:rPr>
        <w:t>其他</w:t>
      </w:r>
      <w:r>
        <w:rPr>
          <w:rFonts w:hint="eastAsia" w:ascii="Times New Roman" w:hAnsi="Times New Roman" w:cs="Times New Roman"/>
          <w:color w:val="auto"/>
        </w:rPr>
        <w:t>财政业务的正常运转</w:t>
      </w:r>
      <w:r>
        <w:rPr>
          <w:rFonts w:hint="eastAsia" w:ascii="Times New Roman" w:hAnsi="Times New Roman" w:cs="Times New Roman"/>
          <w:color w:val="auto"/>
          <w:lang w:eastAsia="zh-CN"/>
        </w:rPr>
        <w:t>。</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主要内容：财政部门依据现代财政管理理论，应用现代信息技术，整合财政部门的预算、执行、监督等管理流程，及时、准确地向财政各层管理者提供充分和有用的信息支持，加工和利用财政信息，实现对政府财政活动进行控制，满足政府财政管理和对外服务需要的一系列过程的总称。财政信息化的目标是追求财政管理水平和对外服务水平的提升。财政信息化的作用是提高财政数据处理的时效性和准确性，提高财政管理的水平和质量;提高财政管理和控制的作用，使财政管理由事后算账、管理转向事先预测、规划，事中控制、监督，事后分析、决策的一种全新的管理和控制模式，以增加财政信息的使用价值，提高财政管理、控制和决策水平;推动财政管理方式、财政管理理论创新和观念更新，促进财政工作进一步发展。</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ascii="仿宋_GB2312"/>
          <w:color w:val="FF0000"/>
        </w:rPr>
      </w:pPr>
      <w:r>
        <w:rPr>
          <w:rFonts w:hint="eastAsia" w:ascii="Times New Roman" w:hAnsi="Times New Roman" w:cs="Times New Roman"/>
          <w:color w:val="auto"/>
          <w:lang w:val="en-US" w:eastAsia="zh-CN"/>
        </w:rPr>
        <w:t>实施情况：202</w:t>
      </w:r>
      <w:r>
        <w:rPr>
          <w:rFonts w:hint="eastAsia" w:cs="Times New Roman"/>
          <w:color w:val="auto"/>
          <w:lang w:val="en-US" w:eastAsia="zh-CN"/>
        </w:rPr>
        <w:t>2</w:t>
      </w:r>
      <w:r>
        <w:rPr>
          <w:rFonts w:hint="eastAsia" w:ascii="Times New Roman" w:hAnsi="Times New Roman" w:cs="Times New Roman"/>
          <w:color w:val="auto"/>
          <w:lang w:val="en-US" w:eastAsia="zh-CN"/>
        </w:rPr>
        <w:t>年度，财政局按照年初项目制定计划，如期完成了对全县预算单位财政业务平台、债务平台、政采云平台、电子票据系统、财政专网等财政信息化业务系统的维护；按时完成了全县财政预决算公开、预算编制工作、政府综合财务报告编制、预算绩效管理、债务管理工作等财政委托业务工作；按照制定计划逐步推进其他各项财政信息化业务工作均已按时完成。</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bookmarkStart w:id="2" w:name="_Toc68703829"/>
      <w:r>
        <w:rPr>
          <w:rFonts w:hint="eastAsia" w:ascii="Times New Roman" w:hAnsi="Times New Roman" w:cs="Times New Roman"/>
          <w:color w:val="auto"/>
          <w:lang w:val="en-US" w:eastAsia="zh-CN"/>
        </w:rPr>
        <w:t>资金投入情况：该项目年初预算数</w:t>
      </w:r>
      <w:r>
        <w:rPr>
          <w:rFonts w:hint="eastAsia" w:cs="Times New Roman"/>
          <w:color w:val="auto"/>
          <w:lang w:val="en-US" w:eastAsia="zh-CN"/>
        </w:rPr>
        <w:t>0</w:t>
      </w:r>
      <w:r>
        <w:rPr>
          <w:rFonts w:hint="eastAsia" w:ascii="Times New Roman" w:hAnsi="Times New Roman" w:cs="Times New Roman"/>
          <w:color w:val="auto"/>
          <w:lang w:val="en-US" w:eastAsia="zh-CN"/>
        </w:rPr>
        <w:t>万元，全年预算数</w:t>
      </w:r>
      <w:r>
        <w:rPr>
          <w:rFonts w:hint="eastAsia" w:cs="Times New Roman"/>
          <w:color w:val="auto"/>
          <w:lang w:val="en-US" w:eastAsia="zh-CN"/>
        </w:rPr>
        <w:t>208.30</w:t>
      </w:r>
      <w:r>
        <w:rPr>
          <w:rFonts w:hint="eastAsia" w:ascii="Times New Roman" w:hAnsi="Times New Roman" w:cs="Times New Roman"/>
          <w:color w:val="auto"/>
          <w:lang w:val="en-US" w:eastAsia="zh-CN"/>
        </w:rPr>
        <w:t>万元，实际总投入</w:t>
      </w:r>
      <w:r>
        <w:rPr>
          <w:rFonts w:hint="eastAsia" w:cs="Times New Roman"/>
          <w:color w:val="auto"/>
          <w:lang w:val="en-US" w:eastAsia="zh-CN"/>
        </w:rPr>
        <w:t>208.30</w:t>
      </w:r>
      <w:r>
        <w:rPr>
          <w:rFonts w:hint="eastAsia" w:ascii="Times New Roman" w:hAnsi="Times New Roman" w:cs="Times New Roman"/>
          <w:color w:val="auto"/>
          <w:lang w:val="en-US" w:eastAsia="zh-CN"/>
        </w:rPr>
        <w:t>万元，该项目资金已全部落实到位，资金来源为当年财政拨款。</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资金使用情况：该项目年初预算数</w:t>
      </w:r>
      <w:r>
        <w:rPr>
          <w:rFonts w:hint="eastAsia" w:cs="Times New Roman"/>
          <w:color w:val="auto"/>
          <w:lang w:val="en-US" w:eastAsia="zh-CN"/>
        </w:rPr>
        <w:t>0</w:t>
      </w:r>
      <w:r>
        <w:rPr>
          <w:rFonts w:hint="eastAsia" w:ascii="Times New Roman" w:hAnsi="Times New Roman" w:cs="Times New Roman"/>
          <w:color w:val="auto"/>
          <w:lang w:val="en-US" w:eastAsia="zh-CN"/>
        </w:rPr>
        <w:t>万元，全年预算数</w:t>
      </w:r>
      <w:r>
        <w:rPr>
          <w:rFonts w:hint="eastAsia" w:cs="Times New Roman"/>
          <w:color w:val="auto"/>
          <w:lang w:val="en-US" w:eastAsia="zh-CN"/>
        </w:rPr>
        <w:t>208.3</w:t>
      </w:r>
      <w:r>
        <w:rPr>
          <w:rFonts w:hint="eastAsia" w:ascii="Times New Roman" w:hAnsi="Times New Roman" w:cs="Times New Roman"/>
          <w:color w:val="auto"/>
          <w:lang w:val="en-US" w:eastAsia="zh-CN"/>
        </w:rPr>
        <w:t>万元，全年执行数</w:t>
      </w:r>
      <w:r>
        <w:rPr>
          <w:rFonts w:hint="eastAsia" w:cs="Times New Roman"/>
          <w:color w:val="auto"/>
          <w:lang w:val="en-US" w:eastAsia="zh-CN"/>
        </w:rPr>
        <w:t>208.3</w:t>
      </w:r>
      <w:r>
        <w:rPr>
          <w:rFonts w:hint="eastAsia" w:ascii="Times New Roman" w:hAnsi="Times New Roman" w:cs="Times New Roman"/>
          <w:color w:val="auto"/>
          <w:lang w:val="en-US" w:eastAsia="zh-CN"/>
        </w:rPr>
        <w:t>万元，预算执行率为100%，用于：</w:t>
      </w:r>
      <w:r>
        <w:rPr>
          <w:rFonts w:hint="eastAsia" w:cs="Times New Roman"/>
          <w:color w:val="auto"/>
          <w:lang w:val="en-US" w:eastAsia="zh-CN"/>
        </w:rPr>
        <w:t>财政业务中介服务费85万元、财政软件系统运营维护费95万元和财政其他信息化业务管理费28.30万元</w:t>
      </w:r>
      <w:r>
        <w:rPr>
          <w:rFonts w:hint="eastAsia" w:ascii="Times New Roman" w:hAnsi="Times New Roman" w:cs="Times New Roman"/>
          <w:color w:val="auto"/>
          <w:lang w:val="en-US" w:eastAsia="zh-CN"/>
        </w:rPr>
        <w:t>。</w:t>
      </w:r>
    </w:p>
    <w:p>
      <w:pPr>
        <w:pStyle w:val="5"/>
        <w:spacing w:line="360" w:lineRule="auto"/>
        <w:ind w:firstLine="640" w:firstLineChars="200"/>
        <w:rPr>
          <w:rFonts w:hint="eastAsia" w:ascii="仿宋_GB2312" w:eastAsia="仿宋_GB2312"/>
          <w:b w:val="0"/>
          <w:bCs w:val="0"/>
        </w:rPr>
      </w:pPr>
      <w:r>
        <w:rPr>
          <w:rFonts w:hint="eastAsia" w:ascii="仿宋_GB2312" w:eastAsia="仿宋_GB2312"/>
          <w:b w:val="0"/>
          <w:bCs w:val="0"/>
        </w:rPr>
        <w:t>（二）项目绩效目标。</w:t>
      </w:r>
      <w:bookmarkEnd w:id="2"/>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rPr>
        <w:t>1</w:t>
      </w:r>
      <w:r>
        <w:rPr>
          <w:rFonts w:hint="eastAsia"/>
          <w:lang w:val="en-US" w:eastAsia="zh-CN"/>
        </w:rPr>
        <w:t>.</w:t>
      </w:r>
      <w:r>
        <w:rPr>
          <w:rFonts w:hint="eastAsia"/>
        </w:rPr>
        <w:t>总体目标：</w:t>
      </w:r>
      <w:r>
        <w:rPr>
          <w:rFonts w:hint="eastAsia" w:ascii="Times New Roman" w:hAnsi="Times New Roman" w:cs="Times New Roman"/>
          <w:color w:val="auto"/>
          <w:lang w:val="en-US" w:eastAsia="zh-CN"/>
        </w:rPr>
        <w:t>202</w:t>
      </w:r>
      <w:r>
        <w:rPr>
          <w:rFonts w:hint="eastAsia" w:cs="Times New Roman"/>
          <w:color w:val="auto"/>
          <w:lang w:val="en-US" w:eastAsia="zh-CN"/>
        </w:rPr>
        <w:t>2</w:t>
      </w:r>
      <w:r>
        <w:rPr>
          <w:rFonts w:hint="eastAsia" w:ascii="Times New Roman" w:hAnsi="Times New Roman" w:cs="Times New Roman"/>
          <w:color w:val="auto"/>
          <w:lang w:val="en-US" w:eastAsia="zh-CN"/>
        </w:rPr>
        <w:t>年，霍城县财政局根据县委、县政府工作指示，为了保障财政工作有序进行，提高财政资金的使用效率，确保财政资金安全、可靠、准确、高效地运行，完成财政大平台的运行维护，保证财政业务的正常开展及全县财政大平台正常运行，实现财政工作信息化有关的所有工作，包括财政应用软件的开发，财政部门建立、应用、维护财政管理信息系统；财政信息化人才的培训；财政信息化的宏观规划；财政信息化的制度建设；财政应用软件市场的培育与发展等，以及以电子计算机为主体的当代电子信息技术在财政工作中的应用。目标1：全县硬件、软件采购或维护</w:t>
      </w:r>
      <w:r>
        <w:rPr>
          <w:rFonts w:hint="eastAsia" w:cs="Times New Roman"/>
          <w:color w:val="auto"/>
          <w:lang w:val="en-US" w:eastAsia="zh-CN"/>
        </w:rPr>
        <w:t>99</w:t>
      </w:r>
      <w:r>
        <w:rPr>
          <w:rFonts w:hint="eastAsia" w:ascii="Times New Roman" w:hAnsi="Times New Roman" w:cs="Times New Roman"/>
          <w:color w:val="auto"/>
          <w:lang w:val="en-US" w:eastAsia="zh-CN"/>
        </w:rPr>
        <w:t>个；目标2：保障财政信息平台正常运转，为全县经济发展做好服务。</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t>2</w:t>
      </w:r>
      <w:r>
        <w:rPr>
          <w:rFonts w:hint="eastAsia"/>
          <w:lang w:val="en-US" w:eastAsia="zh-CN"/>
        </w:rPr>
        <w:t>.</w:t>
      </w:r>
      <w:r>
        <w:rPr>
          <w:rFonts w:hint="eastAsia"/>
        </w:rPr>
        <w:t>阶段性目标：</w:t>
      </w:r>
      <w:r>
        <w:rPr>
          <w:rFonts w:hint="eastAsia" w:ascii="Times New Roman" w:hAnsi="Times New Roman" w:cs="Times New Roman"/>
          <w:color w:val="auto"/>
          <w:lang w:val="en-US" w:eastAsia="zh-CN"/>
        </w:rPr>
        <w:t>根据县委、县政府工作指示，保障全县财政工作有序进行，按照资金管理要求已完成：1、全县硬件、软件采购或维护60个；2、保障了全县财政信息平台正常运转；3、确保财政资金安全、可靠、准确、高效地运行，完成财政大平台的运行维护，保证财政业务的正常开展及全县财政大平台正常运行；4、对财政人员进行信息化培训。到2022年12月,财政局预算执行率达到100%。已完成：1、全县</w:t>
      </w:r>
      <w:r>
        <w:rPr>
          <w:rFonts w:hint="eastAsia" w:cs="Times New Roman"/>
          <w:color w:val="auto"/>
          <w:lang w:val="en-US" w:eastAsia="zh-CN"/>
        </w:rPr>
        <w:t>99</w:t>
      </w:r>
      <w:r>
        <w:rPr>
          <w:rFonts w:hint="eastAsia" w:ascii="Times New Roman" w:hAnsi="Times New Roman" w:cs="Times New Roman"/>
          <w:color w:val="auto"/>
          <w:lang w:val="en-US" w:eastAsia="zh-CN"/>
        </w:rPr>
        <w:t>个预算单位所有财政系统维护；2、各个财政信息平台均能正常运行，工作正常开展；3、对财政资金安全、可靠、准确、高效地运行实行监管；4、对财政及预算单位财务人员实行各项业务培训。</w:t>
      </w:r>
    </w:p>
    <w:p>
      <w:pPr>
        <w:spacing w:line="360" w:lineRule="auto"/>
        <w:ind w:firstLine="600" w:firstLineChars="200"/>
        <w:rPr>
          <w:rFonts w:hint="eastAsia"/>
        </w:rPr>
      </w:pPr>
    </w:p>
    <w:p>
      <w:pPr>
        <w:pStyle w:val="2"/>
      </w:pPr>
    </w:p>
    <w:p>
      <w:pPr>
        <w:pStyle w:val="4"/>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5"/>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ascii="仿宋_GB2312"/>
          <w:bCs/>
          <w:color w:val="FF0000"/>
          <w:sz w:val="32"/>
          <w:szCs w:val="32"/>
        </w:rPr>
      </w:pPr>
      <w:r>
        <w:rPr>
          <w:rFonts w:hint="eastAsia" w:ascii="Times New Roman" w:hAnsi="Times New Roman" w:cs="Times New Roman"/>
          <w:color w:val="auto"/>
          <w:lang w:val="en-US" w:eastAsia="zh-CN"/>
        </w:rPr>
        <w:t>通过绩效评价，客观地评判项目的管理绩效，了解和掌握财政国库、信息化业务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color w:val="FF0000"/>
        </w:rPr>
      </w:pPr>
      <w:r>
        <w:rPr>
          <w:rFonts w:hint="eastAsia" w:ascii="Times New Roman" w:hAnsi="Times New Roman" w:cs="Times New Roman"/>
          <w:color w:val="auto"/>
          <w:lang w:val="en-US" w:eastAsia="zh-CN"/>
        </w:rPr>
        <w:t>财政国库、信息化业务。</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pPr>
      <w:r>
        <w:rPr>
          <w:rFonts w:hint="eastAsia" w:ascii="Times New Roman" w:hAnsi="Times New Roman" w:cs="Times New Roman"/>
          <w:color w:val="auto"/>
          <w:lang w:val="en-US" w:eastAsia="zh-CN"/>
        </w:rPr>
        <w:t>本次评价从项目决策（包括绩效目标、决策过程）、项目管理（包括项目资金、项目实施）、项目产出（包括项目产出数量、产出质量、产出时效和产出成本）项目效益四个维度进行财政国库、信息化业务评价，评价核心为专项资金的支出完成情况和效果。</w:t>
      </w:r>
    </w:p>
    <w:p>
      <w:pPr>
        <w:pStyle w:val="5"/>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pPr>
      <w:r>
        <w:rPr>
          <w:rFonts w:hint="eastAsia" w:ascii="仿宋_GB2312"/>
          <w:bCs/>
          <w:color w:val="auto"/>
          <w:sz w:val="32"/>
          <w:szCs w:val="32"/>
        </w:rPr>
        <w:t>（四）公开透明。</w:t>
      </w:r>
      <w:r>
        <w:rPr>
          <w:rFonts w:hint="eastAsia" w:ascii="Times New Roman" w:hAnsi="Times New Roman" w:cs="Times New Roman"/>
          <w:color w:val="auto"/>
          <w:lang w:val="en-US" w:eastAsia="zh-CN"/>
        </w:rPr>
        <w:t>本次项目支出绩效评价结果已依法依规公开在新疆维吾尔自治区财政绩效管理信息系统和霍城县人民政府网站上，并自觉接受社会监督。</w:t>
      </w:r>
    </w:p>
    <w:p>
      <w:pPr>
        <w:spacing w:line="360" w:lineRule="auto"/>
        <w:ind w:firstLine="600" w:firstLineChars="200"/>
        <w:jc w:val="left"/>
        <w:rPr>
          <w:rFonts w:hint="eastAsia"/>
        </w:rPr>
      </w:pPr>
      <w:r>
        <w:rPr>
          <w:rFonts w:hint="eastAsia"/>
        </w:rPr>
        <w:t>2、评价指标体系（附表说明）</w:t>
      </w:r>
    </w:p>
    <w:p>
      <w:pPr>
        <w:pStyle w:val="5"/>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财政国库、信息化业务项目支出绩效评价指标体系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tabs>
                <w:tab w:val="left" w:pos="272"/>
                <w:tab w:val="center" w:pos="447"/>
              </w:tabs>
              <w:spacing w:line="600" w:lineRule="auto"/>
              <w:jc w:val="left"/>
              <w:rPr>
                <w:rFonts w:hint="eastAsia" w:eastAsia="仿宋_GB2312"/>
                <w:lang w:val="en-US" w:eastAsia="zh-CN"/>
              </w:rPr>
            </w:pPr>
            <w:r>
              <w:rPr>
                <w:rFonts w:hint="eastAsia"/>
                <w:lang w:val="en-US" w:eastAsia="zh-CN"/>
              </w:rPr>
              <w:tab/>
            </w:r>
            <w:r>
              <w:rPr>
                <w:rFonts w:hint="eastAsia"/>
                <w:lang w:val="en-US" w:eastAsia="zh-CN"/>
              </w:rPr>
              <w:t>5</w:t>
            </w:r>
          </w:p>
        </w:tc>
        <w:tc>
          <w:tcPr>
            <w:tcW w:w="874" w:type="dxa"/>
            <w:tcBorders>
              <w:bottom w:val="single" w:color="auto" w:sz="4" w:space="0"/>
            </w:tcBorders>
            <w:shd w:val="clear" w:color="000000" w:fill="FFFFFF"/>
            <w:vAlign w:val="top"/>
          </w:tcPr>
          <w:p>
            <w:pPr>
              <w:tabs>
                <w:tab w:val="left" w:pos="272"/>
                <w:tab w:val="center" w:pos="447"/>
              </w:tabs>
              <w:spacing w:line="600" w:lineRule="auto"/>
              <w:jc w:val="left"/>
              <w:rPr>
                <w:rFonts w:hint="eastAsia" w:ascii="Times New Roman" w:hAnsi="Times New Roman" w:eastAsia="仿宋_GB2312" w:cs="Times New Roman"/>
                <w:kern w:val="2"/>
                <w:sz w:val="30"/>
                <w:szCs w:val="24"/>
                <w:lang w:val="en-US" w:eastAsia="zh-CN" w:bidi="ar-SA"/>
              </w:rPr>
            </w:pPr>
            <w:r>
              <w:rPr>
                <w:rFonts w:hint="eastAsia"/>
                <w:lang w:val="en-US" w:eastAsia="zh-CN"/>
              </w:rPr>
              <w:tab/>
            </w: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7</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6.92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tabs>
                <w:tab w:val="left" w:pos="272"/>
                <w:tab w:val="center" w:pos="447"/>
              </w:tabs>
              <w:spacing w:line="600" w:lineRule="auto"/>
              <w:jc w:val="left"/>
              <w:rPr>
                <w:rFonts w:hint="eastAsia" w:eastAsia="仿宋_GB2312"/>
                <w:lang w:val="en-US" w:eastAsia="zh-CN"/>
              </w:rPr>
            </w:pPr>
            <w:r>
              <w:rPr>
                <w:rFonts w:hint="eastAsia"/>
                <w:lang w:val="en-US" w:eastAsia="zh-CN"/>
              </w:rPr>
              <w:tab/>
            </w:r>
            <w:r>
              <w:rPr>
                <w:rFonts w:hint="eastAsia"/>
                <w:lang w:val="en-US" w:eastAsia="zh-CN"/>
              </w:rPr>
              <w:t>6</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6</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99.92</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pPr>
      <w:r>
        <w:rPr>
          <w:rFonts w:hint="eastAsia" w:ascii="Times New Roman" w:hAnsi="Times New Roman" w:cs="Times New Roman"/>
          <w:color w:val="auto"/>
          <w:lang w:val="en-US" w:eastAsia="zh-CN"/>
        </w:rPr>
        <w:t>本次项目支出绩效自评采用最低成本方法，原因是：此方法适合财政国库、信息化业务项目自评，年初确定绩效目标，以成本最小者为优，对成本进行合理控制，按照预算合理支出。</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default" w:ascii="Times New Roman" w:hAnsi="Times New Roman" w:cs="Times New Roman"/>
          <w:color w:val="auto"/>
          <w:lang w:val="en-US" w:eastAsia="zh-CN"/>
        </w:rPr>
      </w:pPr>
      <w:bookmarkStart w:id="6" w:name="_Toc68703833"/>
      <w:r>
        <w:rPr>
          <w:rFonts w:hint="eastAsia" w:ascii="Times New Roman" w:hAnsi="Times New Roman" w:cs="Times New Roman"/>
          <w:color w:val="auto"/>
          <w:lang w:val="en-US" w:eastAsia="zh-CN"/>
        </w:rPr>
        <w:t>本次项目支出绩效自评采用计划标准，原因是：财政国库、信息化业务通过预先制定的目标、计划、预算、定额开展工作，保证在节约成本、不超出预算的基础上，顺利完成年初制定的目标，保障全县财政业务顺利开展。</w:t>
      </w:r>
    </w:p>
    <w:p>
      <w:pPr>
        <w:pStyle w:val="5"/>
        <w:spacing w:line="360" w:lineRule="auto"/>
        <w:rPr>
          <w:rFonts w:hint="eastAsia" w:ascii="仿宋_GB2312" w:eastAsia="仿宋_GB2312"/>
          <w:b w:val="0"/>
          <w:bCs w:val="0"/>
        </w:rPr>
      </w:pPr>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hint="eastAsia" w:ascii="Times New Roman" w:hAnsi="Times New Roman" w:cs="Times New Roman"/>
          <w:color w:val="auto"/>
        </w:rPr>
      </w:pPr>
      <w:bookmarkStart w:id="7" w:name="_Toc68703834"/>
      <w:r>
        <w:rPr>
          <w:rFonts w:hint="eastAsia" w:ascii="Times New Roman" w:hAnsi="Times New Roman" w:cs="Times New Roman"/>
          <w:color w:val="auto"/>
        </w:rPr>
        <w:t>2023年3月11日-3月</w:t>
      </w:r>
      <w:r>
        <w:rPr>
          <w:rFonts w:hint="eastAsia" w:cs="Times New Roman"/>
          <w:color w:val="auto"/>
          <w:lang w:val="en-US" w:eastAsia="zh-CN"/>
        </w:rPr>
        <w:t>30</w:t>
      </w:r>
      <w:r>
        <w:rPr>
          <w:rFonts w:hint="eastAsia" w:ascii="Times New Roman" w:hAnsi="Times New Roman" w:cs="Times New Roman"/>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4"/>
        <w:spacing w:line="360" w:lineRule="auto"/>
        <w:rPr>
          <w:rFonts w:ascii="宋体" w:hAnsi="宋体" w:eastAsia="宋体"/>
          <w:sz w:val="32"/>
          <w:szCs w:val="32"/>
        </w:rPr>
      </w:pPr>
      <w:r>
        <w:rPr>
          <w:rFonts w:hint="eastAsia" w:ascii="宋体" w:hAnsi="宋体" w:eastAsia="宋体"/>
          <w:sz w:val="32"/>
          <w:szCs w:val="32"/>
        </w:rPr>
        <w:t>三、综合评价情况及评价结论</w:t>
      </w:r>
      <w:bookmarkEnd w:id="7"/>
    </w:p>
    <w:p>
      <w:pPr>
        <w:pStyle w:val="5"/>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pStyle w:val="5"/>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本项目严格按照科学公正、统筹兼顾、激励约束、公开透明的绩效评价原则，采用最低成本法，坚持计划标准对本项目的立项、项绩效目标、资金投入、资金管理、组织实施、产出数量、产出质量、产出时效、产出成本、项目效益进行了综合评价。</w:t>
      </w:r>
    </w:p>
    <w:p>
      <w:pPr>
        <w:pageBreakBefore w:val="0"/>
        <w:numPr>
          <w:ilvl w:val="0"/>
          <w:numId w:val="0"/>
        </w:numPr>
        <w:kinsoku/>
        <w:wordWrap/>
        <w:overflowPunct/>
        <w:topLinePunct w:val="0"/>
        <w:autoSpaceDE/>
        <w:autoSpaceDN/>
        <w:bidi w:val="0"/>
        <w:adjustRightInd/>
        <w:spacing w:line="360" w:lineRule="auto"/>
        <w:ind w:firstLine="1800" w:firstLineChars="600"/>
        <w:textAlignment w:val="auto"/>
        <w:rPr>
          <w:color w:val="FF0000"/>
        </w:rPr>
      </w:pPr>
      <w:r>
        <w:rPr>
          <w:rFonts w:hint="eastAsia" w:ascii="Times New Roman" w:hAnsi="Times New Roman" w:cs="Times New Roman"/>
          <w:color w:val="auto"/>
          <w:lang w:val="en-US" w:eastAsia="zh-CN"/>
        </w:rPr>
        <w:t>财政国库、信息化业务项目评价得分情况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24.92</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b/>
                <w:bCs/>
                <w:color w:val="000000"/>
                <w:kern w:val="2"/>
                <w:sz w:val="22"/>
                <w:szCs w:val="24"/>
                <w:lang w:val="en-US" w:eastAsia="zh-CN" w:bidi="ar-SA"/>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20" w:lineRule="exact"/>
              <w:jc w:val="center"/>
              <w:textAlignment w:val="auto"/>
              <w:rPr>
                <w:rFonts w:hint="default" w:ascii="Times New Roman" w:hAnsi="Times New Roman" w:eastAsia="仿宋_GB2312" w:cs="Times New Roman"/>
                <w:b/>
                <w:bCs/>
                <w:color w:val="000000"/>
                <w:kern w:val="2"/>
                <w:sz w:val="22"/>
                <w:szCs w:val="24"/>
                <w:lang w:val="en-US" w:eastAsia="zh-CN" w:bidi="ar-SA"/>
              </w:rPr>
            </w:pPr>
            <w:r>
              <w:rPr>
                <w:rFonts w:hint="eastAsia"/>
                <w:b/>
                <w:bCs/>
                <w:color w:val="000000"/>
                <w:sz w:val="22"/>
                <w:lang w:val="en-US" w:eastAsia="zh-CN"/>
              </w:rPr>
              <w:t>99.92</w:t>
            </w:r>
          </w:p>
        </w:tc>
      </w:tr>
    </w:tbl>
    <w:p>
      <w:pPr>
        <w:pStyle w:val="5"/>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FF0000"/>
          <w:lang w:val="en-US"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w:t>
      </w:r>
      <w:r>
        <w:rPr>
          <w:rFonts w:hint="eastAsia"/>
          <w:color w:val="auto"/>
          <w:lang w:val="en-US" w:eastAsia="zh-CN"/>
        </w:rPr>
        <w:t>99.92</w:t>
      </w:r>
      <w:r>
        <w:rPr>
          <w:rFonts w:hint="eastAsia"/>
          <w:color w:val="auto"/>
        </w:rPr>
        <w:t>分，</w:t>
      </w:r>
      <w:r>
        <w:rPr>
          <w:rFonts w:hint="eastAsia"/>
          <w:color w:val="auto"/>
          <w:lang w:val="en-US" w:eastAsia="zh-CN"/>
        </w:rPr>
        <w:t>评价等级为“优”</w:t>
      </w:r>
      <w:r>
        <w:rPr>
          <w:rFonts w:hint="eastAsia"/>
          <w:color w:val="auto"/>
        </w:rPr>
        <w:t>项目</w:t>
      </w:r>
      <w:r>
        <w:rPr>
          <w:rFonts w:hint="eastAsia"/>
          <w:color w:val="auto"/>
          <w:lang w:eastAsia="zh-CN"/>
        </w:rPr>
        <w:t>大部分</w:t>
      </w:r>
      <w:r>
        <w:rPr>
          <w:rFonts w:hint="eastAsia"/>
          <w:color w:val="auto"/>
        </w:rPr>
        <w:t>达成年度指标</w:t>
      </w:r>
      <w:r>
        <w:rPr>
          <w:rFonts w:hint="eastAsia"/>
          <w:color w:val="auto"/>
          <w:lang w:eastAsia="zh-CN"/>
        </w:rPr>
        <w:t>，数量指标未达成年度指标的原因：检察院、法院上划，数量减少。</w:t>
      </w:r>
    </w:p>
    <w:p>
      <w:pPr>
        <w:pStyle w:val="4"/>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5"/>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1、立项依据充分性</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项目立项依据《财政国库手册》及财政工作规划；项目立项符合行业发展规划和政策要求；项目立项与部门职责范围相符，属于部门履职所需；项目属于公共财政支持范围，符合中央、地方事权支出责任划分原则；项目</w:t>
      </w:r>
      <w:r>
        <w:rPr>
          <w:rFonts w:hint="eastAsia" w:cs="Times New Roman"/>
          <w:color w:val="auto"/>
          <w:lang w:val="en-US" w:eastAsia="zh-CN"/>
        </w:rPr>
        <w:t>未</w:t>
      </w:r>
      <w:r>
        <w:rPr>
          <w:rFonts w:hint="eastAsia" w:ascii="Times New Roman" w:hAnsi="Times New Roman" w:cs="Times New Roman"/>
          <w:color w:val="auto"/>
          <w:lang w:val="en-US" w:eastAsia="zh-CN"/>
        </w:rPr>
        <w:t>与相关部门同类项目或部门内部相关项目重复。</w:t>
      </w:r>
    </w:p>
    <w:p>
      <w:pPr>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2、立项程序规范性</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3、绩效目标合理性</w:t>
      </w:r>
    </w:p>
    <w:p>
      <w:pPr>
        <w:pageBreakBefore w:val="0"/>
        <w:numPr>
          <w:ilvl w:val="0"/>
          <w:numId w:val="0"/>
        </w:numPr>
        <w:kinsoku/>
        <w:wordWrap/>
        <w:overflowPunct/>
        <w:topLinePunct w:val="0"/>
        <w:autoSpaceDE/>
        <w:autoSpaceDN/>
        <w:bidi w:val="0"/>
        <w:adjustRightInd/>
        <w:spacing w:line="360" w:lineRule="auto"/>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财政国库、信息化业务项目设立了项目绩效目标，与财政各个信息系统维护及财政委托业务具有相关性，项目的预期产出效益和效果也均能符合正常的业绩水平，并且与预算确定的项目投资额或资金量相匹配。</w:t>
      </w:r>
    </w:p>
    <w:p>
      <w:pPr>
        <w:spacing w:line="360" w:lineRule="auto"/>
        <w:ind w:firstLine="600" w:firstLineChars="200"/>
        <w:rPr>
          <w:color w:val="FF0000"/>
        </w:rPr>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jc w:val="left"/>
        <w:rPr>
          <w:rFonts w:hint="eastAsia"/>
        </w:rPr>
      </w:pPr>
      <w:bookmarkStart w:id="12" w:name="_Hlk68699917"/>
      <w:r>
        <w:rPr>
          <w:rFonts w:hint="eastAsia"/>
          <w:lang w:val="en-US" w:eastAsia="zh-CN"/>
        </w:rPr>
        <w:t>财政国库、信息化业务</w:t>
      </w:r>
      <w:r>
        <w:rPr>
          <w:rFonts w:hint="eastAsia"/>
        </w:rPr>
        <w:t>项目将项目绩效目标细化分解为具体的绩效指标，一级指标共</w:t>
      </w:r>
      <w:r>
        <w:rPr>
          <w:rFonts w:hint="eastAsia"/>
          <w:lang w:val="en-US" w:eastAsia="zh-CN"/>
        </w:rPr>
        <w:t>3</w:t>
      </w:r>
      <w:r>
        <w:rPr>
          <w:rFonts w:hint="eastAsia"/>
        </w:rPr>
        <w:t>条，二级指标共</w:t>
      </w:r>
      <w:r>
        <w:rPr>
          <w:rFonts w:hint="eastAsia"/>
          <w:lang w:val="en-US" w:eastAsia="zh-CN"/>
        </w:rPr>
        <w:t>7</w:t>
      </w:r>
      <w:r>
        <w:rPr>
          <w:rFonts w:hint="eastAsia"/>
        </w:rPr>
        <w:t>条，三级指标共</w:t>
      </w:r>
      <w:r>
        <w:rPr>
          <w:rFonts w:hint="eastAsia"/>
          <w:lang w:val="en-US" w:eastAsia="zh-CN"/>
        </w:rPr>
        <w:t>15</w:t>
      </w:r>
      <w:r>
        <w:rPr>
          <w:rFonts w:hint="eastAsia"/>
        </w:rPr>
        <w:t>条，其中量化指标条数共</w:t>
      </w:r>
      <w:r>
        <w:rPr>
          <w:rFonts w:hint="eastAsia"/>
          <w:lang w:val="en-US" w:eastAsia="zh-CN"/>
        </w:rPr>
        <w:t>14</w:t>
      </w:r>
      <w:r>
        <w:rPr>
          <w:rFonts w:hint="eastAsia"/>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jc w:val="left"/>
        <w:rPr>
          <w:rFonts w:hint="eastAsia"/>
        </w:rPr>
      </w:pPr>
      <w:r>
        <w:rPr>
          <w:rFonts w:hint="eastAsia"/>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pStyle w:val="5"/>
        <w:spacing w:line="360" w:lineRule="auto"/>
        <w:ind w:firstLine="600" w:firstLineChars="200"/>
        <w:rPr>
          <w:rFonts w:hint="eastAsia" w:ascii="Times New Roman" w:hAnsi="Times New Roman" w:eastAsia="仿宋_GB2312" w:cs="Times New Roman"/>
          <w:b w:val="0"/>
          <w:bCs w:val="0"/>
          <w:kern w:val="2"/>
          <w:sz w:val="30"/>
          <w:szCs w:val="24"/>
          <w:lang w:val="en-US" w:eastAsia="zh-CN" w:bidi="ar-SA"/>
        </w:rPr>
      </w:pPr>
      <w:bookmarkStart w:id="13" w:name="_Toc68703839"/>
      <w:r>
        <w:rPr>
          <w:rFonts w:hint="eastAsia" w:ascii="Times New Roman" w:hAnsi="Times New Roman" w:eastAsia="仿宋_GB2312" w:cs="Times New Roman"/>
          <w:b w:val="0"/>
          <w:bCs w:val="0"/>
          <w:kern w:val="2"/>
          <w:sz w:val="30"/>
          <w:szCs w:val="24"/>
          <w:lang w:val="en-US" w:eastAsia="zh-CN" w:bidi="ar-SA"/>
        </w:rPr>
        <w:t>预算资金分配依据充分；资金分配额度合理，与项目单位实际相适应。</w:t>
      </w:r>
    </w:p>
    <w:p>
      <w:pPr>
        <w:pStyle w:val="5"/>
        <w:spacing w:line="360" w:lineRule="auto"/>
        <w:rPr>
          <w:rFonts w:hint="eastAsia" w:ascii="仿宋_GB2312" w:eastAsia="仿宋_GB2312"/>
          <w:b w:val="0"/>
          <w:bCs w:val="0"/>
        </w:rPr>
      </w:pPr>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FF0000"/>
        </w:rPr>
      </w:pPr>
      <w:r>
        <w:rPr>
          <w:rFonts w:hint="eastAsia"/>
          <w:color w:val="auto"/>
        </w:rPr>
        <w:t>预算资金</w:t>
      </w:r>
      <w:r>
        <w:rPr>
          <w:rFonts w:hint="eastAsia"/>
          <w:color w:val="auto"/>
          <w:lang w:val="en-US" w:eastAsia="zh-CN"/>
        </w:rPr>
        <w:t>208.03</w:t>
      </w:r>
      <w:r>
        <w:rPr>
          <w:rFonts w:hint="eastAsia"/>
          <w:color w:val="auto"/>
        </w:rPr>
        <w:t>万元，实际到位资金</w:t>
      </w:r>
      <w:r>
        <w:rPr>
          <w:rFonts w:hint="eastAsia"/>
          <w:color w:val="auto"/>
          <w:lang w:val="en-US" w:eastAsia="zh-CN"/>
        </w:rPr>
        <w:t>208.03</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color w:val="FF0000"/>
        </w:rPr>
      </w:pPr>
      <w:r>
        <w:rPr>
          <w:rFonts w:hint="eastAsia"/>
          <w:color w:val="auto"/>
        </w:rPr>
        <w:t>预算资金</w:t>
      </w:r>
      <w:r>
        <w:rPr>
          <w:rFonts w:hint="eastAsia"/>
          <w:color w:val="auto"/>
          <w:lang w:val="en-US" w:eastAsia="zh-CN"/>
        </w:rPr>
        <w:t>208.03</w:t>
      </w:r>
      <w:r>
        <w:rPr>
          <w:rFonts w:hint="eastAsia"/>
          <w:color w:val="auto"/>
        </w:rPr>
        <w:t>万元，实际到位资金</w:t>
      </w:r>
      <w:r>
        <w:rPr>
          <w:rFonts w:hint="eastAsia"/>
          <w:color w:val="auto"/>
          <w:lang w:val="en-US" w:eastAsia="zh-CN"/>
        </w:rPr>
        <w:t>208.03</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jc w:val="left"/>
        <w:rPr>
          <w:rFonts w:hint="eastAsia"/>
        </w:rPr>
      </w:pPr>
      <w:r>
        <w:rPr>
          <w:rFonts w:hint="eastAsia"/>
        </w:rPr>
        <w:t>本项目符合国家财经法规和财务管理制度以及有关专项资金管理办法的规定；资金的拨付有完整的审批程序和手续；符合项目预算批复或合同规定的用途；不存在截留、挤占、挪用、虚列支出等情况。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rPr>
          <w:rFonts w:hint="eastAsia"/>
        </w:rPr>
      </w:pPr>
      <w:r>
        <w:rPr>
          <w:rFonts w:hint="eastAsia"/>
        </w:rPr>
        <w:t>本项目已制定或具有相应的财务和业务管理制度；财务和业务管理制度合法、合规、完整。</w:t>
      </w:r>
    </w:p>
    <w:p>
      <w:pPr>
        <w:spacing w:line="360" w:lineRule="auto"/>
        <w:rPr>
          <w:color w:val="FF0000"/>
        </w:rPr>
      </w:pPr>
    </w:p>
    <w:p>
      <w:pPr>
        <w:numPr>
          <w:ilvl w:val="0"/>
          <w:numId w:val="1"/>
        </w:numPr>
        <w:spacing w:line="360" w:lineRule="auto"/>
        <w:ind w:firstLine="600" w:firstLineChars="200"/>
        <w:jc w:val="left"/>
        <w:rPr>
          <w:rFonts w:hint="eastAsia"/>
        </w:rPr>
      </w:pPr>
      <w:r>
        <w:rPr>
          <w:rFonts w:hint="eastAsia"/>
        </w:rPr>
        <w:t>制度执行有效性</w:t>
      </w:r>
    </w:p>
    <w:p>
      <w:pPr>
        <w:numPr>
          <w:ilvl w:val="0"/>
          <w:numId w:val="0"/>
        </w:numPr>
        <w:spacing w:line="360" w:lineRule="auto"/>
        <w:ind w:firstLine="600" w:firstLineChars="200"/>
        <w:jc w:val="left"/>
        <w:rPr>
          <w:color w:val="FF0000"/>
        </w:rPr>
      </w:pPr>
      <w:r>
        <w:rPr>
          <w:rFonts w:hint="eastAsia" w:ascii="Times New Roman" w:hAnsi="Times New Roman" w:eastAsia="仿宋_GB2312" w:cs="Times New Roman"/>
          <w:b w:val="0"/>
          <w:bCs w:val="0"/>
          <w:kern w:val="2"/>
          <w:sz w:val="30"/>
          <w:szCs w:val="24"/>
          <w:lang w:val="en-US" w:eastAsia="zh-CN" w:bidi="ar-SA"/>
        </w:rPr>
        <w:t>本项目遵守相关法律法规和相关管理规定；项目调整及支出调整手续完备；项目合同书、验收报告、技术鉴定等资料齐全并及时归档；项目实施的人员条件、场地设备、信息支撑等落实到位。</w:t>
      </w:r>
    </w:p>
    <w:p>
      <w:pPr>
        <w:pStyle w:val="5"/>
        <w:spacing w:line="360" w:lineRule="auto"/>
        <w:rPr>
          <w:rFonts w:hint="eastAsia" w:ascii="仿宋_GB2312" w:eastAsia="仿宋_GB2312"/>
          <w:b w:val="0"/>
          <w:bCs w:val="0"/>
          <w:color w:val="auto"/>
        </w:rPr>
      </w:pPr>
      <w:bookmarkStart w:id="14" w:name="_Toc68703840"/>
      <w:r>
        <w:rPr>
          <w:rFonts w:hint="eastAsia" w:ascii="仿宋_GB2312" w:eastAsia="仿宋_GB2312"/>
          <w:b w:val="0"/>
          <w:bCs w:val="0"/>
        </w:rPr>
        <w:t>（</w:t>
      </w:r>
      <w:r>
        <w:rPr>
          <w:rFonts w:hint="eastAsia" w:ascii="仿宋_GB2312" w:eastAsia="仿宋_GB2312"/>
          <w:b w:val="0"/>
          <w:bCs w:val="0"/>
          <w:color w:val="auto"/>
        </w:rPr>
        <w:t>三）项目产出情况。</w:t>
      </w:r>
      <w:bookmarkEnd w:id="14"/>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数量指标：指标1：聘请中介服务，指标值：</w:t>
      </w:r>
      <w:r>
        <w:rPr>
          <w:rFonts w:hint="eastAsia"/>
          <w:color w:val="auto"/>
          <w:lang w:eastAsia="zh-CN"/>
        </w:rPr>
        <w:t>≥</w:t>
      </w:r>
      <w:r>
        <w:rPr>
          <w:rFonts w:hint="eastAsia"/>
          <w:color w:val="auto"/>
          <w:lang w:val="en-US" w:eastAsia="zh-CN"/>
        </w:rPr>
        <w:t>4家</w:t>
      </w:r>
      <w:r>
        <w:rPr>
          <w:rFonts w:hint="eastAsia"/>
          <w:color w:val="auto"/>
        </w:rPr>
        <w:t>，实际完成值</w:t>
      </w:r>
      <w:r>
        <w:rPr>
          <w:rFonts w:hint="eastAsia"/>
          <w:color w:val="auto"/>
          <w:lang w:val="en-US" w:eastAsia="zh-CN"/>
        </w:rPr>
        <w:t>4家</w:t>
      </w:r>
      <w:r>
        <w:rPr>
          <w:rFonts w:hint="eastAsia"/>
          <w:color w:val="auto"/>
        </w:rPr>
        <w:t>，指标完成率</w:t>
      </w:r>
      <w:r>
        <w:rPr>
          <w:rFonts w:hint="eastAsia"/>
          <w:color w:val="auto"/>
          <w:lang w:val="en-US" w:eastAsia="zh-CN"/>
        </w:rPr>
        <w:t>100</w:t>
      </w:r>
      <w:r>
        <w:rPr>
          <w:rFonts w:hint="eastAsia"/>
          <w:color w:val="auto"/>
        </w:rPr>
        <w:t>%；指标2：硬件、软件采购或维护数量，指标值：</w:t>
      </w:r>
      <w:r>
        <w:rPr>
          <w:rFonts w:hint="eastAsia"/>
          <w:color w:val="auto"/>
          <w:lang w:eastAsia="zh-CN"/>
        </w:rPr>
        <w:t>≥</w:t>
      </w:r>
      <w:r>
        <w:rPr>
          <w:rFonts w:hint="eastAsia"/>
          <w:color w:val="auto"/>
          <w:lang w:val="en-US" w:eastAsia="zh-CN"/>
        </w:rPr>
        <w:t>101个</w:t>
      </w:r>
      <w:r>
        <w:rPr>
          <w:rFonts w:hint="eastAsia"/>
          <w:color w:val="auto"/>
        </w:rPr>
        <w:t>，实际完成值</w:t>
      </w:r>
      <w:r>
        <w:rPr>
          <w:rFonts w:hint="eastAsia"/>
          <w:color w:val="auto"/>
          <w:lang w:val="en-US" w:eastAsia="zh-CN"/>
        </w:rPr>
        <w:t>99个</w:t>
      </w:r>
      <w:r>
        <w:rPr>
          <w:rFonts w:hint="eastAsia"/>
          <w:color w:val="auto"/>
        </w:rPr>
        <w:t>，指标完成率</w:t>
      </w:r>
      <w:r>
        <w:rPr>
          <w:rFonts w:hint="eastAsia"/>
          <w:color w:val="auto"/>
          <w:lang w:val="en-US" w:eastAsia="zh-CN"/>
        </w:rPr>
        <w:t>98.02</w:t>
      </w:r>
      <w:r>
        <w:rPr>
          <w:rFonts w:hint="eastAsia"/>
          <w:color w:val="auto"/>
        </w:rPr>
        <w:t>%</w:t>
      </w:r>
      <w:r>
        <w:rPr>
          <w:rFonts w:hint="eastAsia"/>
          <w:color w:val="auto"/>
          <w:lang w:eastAsia="zh-CN"/>
        </w:rPr>
        <w:t>，偏差原因是检察院、法院上划，数量减少；</w:t>
      </w:r>
      <w:r>
        <w:rPr>
          <w:rFonts w:hint="eastAsia"/>
          <w:color w:val="auto"/>
        </w:rPr>
        <w:t>指标</w:t>
      </w:r>
      <w:r>
        <w:rPr>
          <w:rFonts w:hint="eastAsia"/>
          <w:color w:val="auto"/>
          <w:lang w:val="en-US" w:eastAsia="zh-CN"/>
        </w:rPr>
        <w:t>3</w:t>
      </w:r>
      <w:r>
        <w:rPr>
          <w:rFonts w:hint="eastAsia"/>
          <w:color w:val="auto"/>
        </w:rPr>
        <w:t>：系统应用数量，指标值：</w:t>
      </w:r>
      <w:r>
        <w:rPr>
          <w:rFonts w:hint="eastAsia"/>
          <w:color w:val="auto"/>
          <w:lang w:eastAsia="zh-CN"/>
        </w:rPr>
        <w:t>≥</w:t>
      </w:r>
      <w:r>
        <w:rPr>
          <w:rFonts w:hint="eastAsia"/>
          <w:color w:val="auto"/>
          <w:lang w:val="en-US" w:eastAsia="zh-CN"/>
        </w:rPr>
        <w:t>101个</w:t>
      </w:r>
      <w:r>
        <w:rPr>
          <w:rFonts w:hint="eastAsia"/>
          <w:color w:val="auto"/>
        </w:rPr>
        <w:t>，实际完成值</w:t>
      </w:r>
      <w:r>
        <w:rPr>
          <w:rFonts w:hint="eastAsia"/>
          <w:color w:val="auto"/>
          <w:lang w:val="en-US" w:eastAsia="zh-CN"/>
        </w:rPr>
        <w:t>99个</w:t>
      </w:r>
      <w:r>
        <w:rPr>
          <w:rFonts w:hint="eastAsia"/>
          <w:color w:val="auto"/>
        </w:rPr>
        <w:t>，指标完成率</w:t>
      </w:r>
      <w:r>
        <w:rPr>
          <w:rFonts w:hint="eastAsia"/>
          <w:color w:val="auto"/>
          <w:lang w:val="en-US" w:eastAsia="zh-CN"/>
        </w:rPr>
        <w:t>98.02</w:t>
      </w:r>
      <w:r>
        <w:rPr>
          <w:rFonts w:hint="eastAsia"/>
          <w:color w:val="auto"/>
        </w:rPr>
        <w:t>%</w:t>
      </w:r>
      <w:r>
        <w:rPr>
          <w:rFonts w:hint="eastAsia"/>
          <w:color w:val="auto"/>
          <w:lang w:eastAsia="zh-CN"/>
        </w:rPr>
        <w:t>，偏差原因是检察院、法院上划，数量减少</w:t>
      </w:r>
      <w:r>
        <w:rPr>
          <w:rFonts w:hint="eastAsia"/>
          <w:color w:val="auto"/>
        </w:rPr>
        <w:t>。</w:t>
      </w:r>
    </w:p>
    <w:p>
      <w:pPr>
        <w:spacing w:line="360" w:lineRule="auto"/>
        <w:ind w:firstLine="600" w:firstLineChars="200"/>
        <w:rPr>
          <w:color w:val="auto"/>
        </w:rPr>
      </w:pPr>
      <w:r>
        <w:rPr>
          <w:color w:val="auto"/>
        </w:rPr>
        <w:t>2</w:t>
      </w:r>
      <w:r>
        <w:rPr>
          <w:rFonts w:hint="eastAsia"/>
          <w:color w:val="auto"/>
          <w:lang w:val="en-US" w:eastAsia="zh-CN"/>
        </w:rPr>
        <w:t>.</w:t>
      </w:r>
      <w:r>
        <w:rPr>
          <w:rFonts w:hint="eastAsia"/>
          <w:color w:val="auto"/>
        </w:rPr>
        <w:t>质量指标：指标1</w:t>
      </w:r>
      <w:r>
        <w:rPr>
          <w:rFonts w:hint="eastAsia"/>
          <w:color w:val="auto"/>
          <w:lang w:eastAsia="zh-CN"/>
        </w:rPr>
        <w:t>：</w:t>
      </w:r>
      <w:r>
        <w:rPr>
          <w:rFonts w:hint="eastAsia"/>
          <w:color w:val="auto"/>
        </w:rPr>
        <w:t>中介服务质量合格率，指标值：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%；指标2：维护质量合格率，指标值：</w:t>
      </w:r>
      <w:r>
        <w:rPr>
          <w:rFonts w:hint="eastAsia"/>
          <w:color w:val="auto"/>
          <w:lang w:eastAsia="zh-CN"/>
        </w:rPr>
        <w:t>≥</w:t>
      </w:r>
      <w:r>
        <w:rPr>
          <w:rFonts w:hint="eastAsia"/>
          <w:color w:val="auto"/>
          <w:lang w:val="en-US" w:eastAsia="zh-CN"/>
        </w:rPr>
        <w:t>95%</w:t>
      </w:r>
      <w:r>
        <w:rPr>
          <w:rFonts w:hint="eastAsia"/>
          <w:color w:val="auto"/>
        </w:rPr>
        <w:t>，实际完成值</w:t>
      </w:r>
      <w:r>
        <w:rPr>
          <w:rFonts w:hint="eastAsia"/>
          <w:color w:val="auto"/>
          <w:lang w:val="en-US" w:eastAsia="zh-CN"/>
        </w:rPr>
        <w:t>95%</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lang w:eastAsia="zh-CN"/>
        </w:rPr>
        <w:t>：系统故障率</w:t>
      </w:r>
      <w:r>
        <w:rPr>
          <w:rFonts w:hint="eastAsia"/>
          <w:color w:val="auto"/>
        </w:rPr>
        <w:t>，指标值：</w:t>
      </w:r>
      <w:r>
        <w:rPr>
          <w:rFonts w:hint="eastAsia"/>
          <w:color w:val="auto"/>
          <w:lang w:val="en-US" w:eastAsia="zh-CN"/>
        </w:rPr>
        <w:t>≤5%</w:t>
      </w:r>
      <w:r>
        <w:rPr>
          <w:rFonts w:hint="eastAsia"/>
          <w:color w:val="auto"/>
        </w:rPr>
        <w:t>，实际完成值</w:t>
      </w:r>
      <w:r>
        <w:rPr>
          <w:rFonts w:hint="eastAsia"/>
          <w:color w:val="auto"/>
          <w:lang w:val="en-US" w:eastAsia="zh-CN"/>
        </w:rPr>
        <w:t>5%</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3</w:t>
      </w:r>
      <w:r>
        <w:rPr>
          <w:rFonts w:hint="eastAsia"/>
          <w:color w:val="auto"/>
          <w:lang w:val="en-US" w:eastAsia="zh-CN"/>
        </w:rPr>
        <w:t>.</w:t>
      </w:r>
      <w:r>
        <w:rPr>
          <w:rFonts w:hint="eastAsia"/>
          <w:color w:val="auto"/>
        </w:rPr>
        <w:t>时效指标：指标1</w:t>
      </w:r>
      <w:r>
        <w:rPr>
          <w:rFonts w:hint="eastAsia"/>
          <w:color w:val="auto"/>
          <w:lang w:eastAsia="zh-CN"/>
        </w:rPr>
        <w:t>：中介服务工作完成及时率</w:t>
      </w:r>
      <w:r>
        <w:rPr>
          <w:rFonts w:hint="eastAsia"/>
          <w:color w:val="auto"/>
        </w:rPr>
        <w:t>，指标值：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%；指标2：系统故障修复处理时间，指标值：</w:t>
      </w:r>
      <w:r>
        <w:rPr>
          <w:rFonts w:hint="eastAsia"/>
          <w:color w:val="auto"/>
          <w:lang w:eastAsia="zh-CN"/>
        </w:rPr>
        <w:t>≤</w:t>
      </w:r>
      <w:r>
        <w:rPr>
          <w:rFonts w:hint="eastAsia"/>
          <w:color w:val="auto"/>
          <w:lang w:val="en-US" w:eastAsia="zh-CN"/>
        </w:rPr>
        <w:t>2天</w:t>
      </w:r>
      <w:r>
        <w:rPr>
          <w:rFonts w:hint="eastAsia"/>
          <w:color w:val="auto"/>
        </w:rPr>
        <w:t>，实际完成值</w:t>
      </w:r>
      <w:r>
        <w:rPr>
          <w:rFonts w:hint="eastAsia"/>
          <w:color w:val="auto"/>
          <w:lang w:val="en-US" w:eastAsia="zh-CN"/>
        </w:rPr>
        <w:t>2天</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lang w:eastAsia="zh-CN"/>
        </w:rPr>
        <w:t>：系统运行维护响应时间</w:t>
      </w:r>
      <w:r>
        <w:rPr>
          <w:rFonts w:hint="eastAsia"/>
          <w:color w:val="auto"/>
        </w:rPr>
        <w:t>，指标值：</w:t>
      </w:r>
      <w:r>
        <w:rPr>
          <w:rFonts w:hint="eastAsia"/>
          <w:color w:val="auto"/>
          <w:lang w:val="en-US" w:eastAsia="zh-CN"/>
        </w:rPr>
        <w:t>≤24小时</w:t>
      </w:r>
      <w:r>
        <w:rPr>
          <w:rFonts w:hint="eastAsia"/>
          <w:color w:val="auto"/>
        </w:rPr>
        <w:t>，实际完成值</w:t>
      </w:r>
      <w:r>
        <w:rPr>
          <w:rFonts w:hint="eastAsia"/>
          <w:color w:val="auto"/>
          <w:lang w:val="en-US" w:eastAsia="zh-CN"/>
        </w:rPr>
        <w:t>24小时</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w:t>
      </w:r>
      <w:r>
        <w:rPr>
          <w:rFonts w:hint="eastAsia"/>
          <w:color w:val="auto"/>
          <w:lang w:eastAsia="zh-CN"/>
        </w:rPr>
        <w:t>：财政业务中介服务费</w:t>
      </w:r>
      <w:r>
        <w:rPr>
          <w:rFonts w:hint="eastAsia"/>
          <w:color w:val="auto"/>
        </w:rPr>
        <w:t>，指标值：</w:t>
      </w:r>
      <w:r>
        <w:rPr>
          <w:rFonts w:hint="eastAsia"/>
          <w:color w:val="auto"/>
          <w:lang w:val="en-US" w:eastAsia="zh-CN"/>
        </w:rPr>
        <w:t>≤85万元</w:t>
      </w:r>
      <w:r>
        <w:rPr>
          <w:rFonts w:hint="eastAsia"/>
          <w:color w:val="auto"/>
        </w:rPr>
        <w:t>，实际完成值</w:t>
      </w:r>
      <w:r>
        <w:rPr>
          <w:rFonts w:hint="eastAsia"/>
          <w:color w:val="auto"/>
          <w:lang w:val="en-US" w:eastAsia="zh-CN"/>
        </w:rPr>
        <w:t>85万元</w:t>
      </w:r>
      <w:r>
        <w:rPr>
          <w:rFonts w:hint="eastAsia"/>
          <w:color w:val="auto"/>
        </w:rPr>
        <w:t>，指标完成率</w:t>
      </w:r>
      <w:r>
        <w:rPr>
          <w:rFonts w:hint="eastAsia"/>
          <w:color w:val="auto"/>
          <w:lang w:val="en-US" w:eastAsia="zh-CN"/>
        </w:rPr>
        <w:t>100</w:t>
      </w:r>
      <w:r>
        <w:rPr>
          <w:rFonts w:hint="eastAsia"/>
          <w:color w:val="auto"/>
        </w:rPr>
        <w:t>%；指标2：财政软件系统运营维护费，指标值：</w:t>
      </w:r>
      <w:r>
        <w:rPr>
          <w:rFonts w:hint="eastAsia"/>
          <w:color w:val="auto"/>
          <w:lang w:eastAsia="zh-CN"/>
        </w:rPr>
        <w:t>≤</w:t>
      </w:r>
      <w:r>
        <w:rPr>
          <w:rFonts w:hint="eastAsia"/>
          <w:color w:val="auto"/>
          <w:lang w:val="en-US" w:eastAsia="zh-CN"/>
        </w:rPr>
        <w:t>95万元</w:t>
      </w:r>
      <w:r>
        <w:rPr>
          <w:rFonts w:hint="eastAsia"/>
          <w:color w:val="auto"/>
        </w:rPr>
        <w:t>，实际完成值</w:t>
      </w:r>
      <w:r>
        <w:rPr>
          <w:rFonts w:hint="eastAsia"/>
          <w:color w:val="auto"/>
          <w:lang w:val="en-US" w:eastAsia="zh-CN"/>
        </w:rPr>
        <w:t>95万元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lang w:eastAsia="zh-CN"/>
        </w:rPr>
        <w:t>：财政其他信息化业务管理费</w:t>
      </w:r>
      <w:r>
        <w:rPr>
          <w:rFonts w:hint="eastAsia"/>
          <w:color w:val="auto"/>
        </w:rPr>
        <w:t>，指标值：</w:t>
      </w:r>
      <w:r>
        <w:rPr>
          <w:rFonts w:hint="eastAsia"/>
          <w:color w:val="auto"/>
          <w:lang w:val="en-US" w:eastAsia="zh-CN"/>
        </w:rPr>
        <w:t>≤28.3万元</w:t>
      </w:r>
      <w:r>
        <w:rPr>
          <w:rFonts w:hint="eastAsia"/>
          <w:color w:val="auto"/>
        </w:rPr>
        <w:t>，实际完成值</w:t>
      </w:r>
      <w:r>
        <w:rPr>
          <w:rFonts w:hint="eastAsia"/>
          <w:color w:val="auto"/>
          <w:lang w:val="en-US" w:eastAsia="zh-CN"/>
        </w:rPr>
        <w:t>28.3万元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5"/>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rFonts w:hint="eastAsia" w:eastAsia="仿宋_GB2312"/>
          <w:color w:val="auto"/>
          <w:lang w:eastAsia="zh-CN"/>
        </w:rPr>
      </w:pPr>
      <w:r>
        <w:rPr>
          <w:rFonts w:hint="eastAsia"/>
          <w:color w:val="auto"/>
          <w:lang w:val="en-US" w:eastAsia="zh-CN"/>
        </w:rPr>
        <w:t>1.</w:t>
      </w:r>
      <w:r>
        <w:rPr>
          <w:rFonts w:hint="eastAsia"/>
          <w:color w:val="auto"/>
        </w:rPr>
        <w:t>社会效益指标：指标1</w:t>
      </w:r>
      <w:r>
        <w:rPr>
          <w:rFonts w:hint="eastAsia"/>
          <w:color w:val="auto"/>
          <w:lang w:eastAsia="zh-CN"/>
        </w:rPr>
        <w:t>：保障全县财政业务正常开展</w:t>
      </w:r>
      <w:r>
        <w:rPr>
          <w:rFonts w:hint="eastAsia"/>
          <w:color w:val="auto"/>
        </w:rPr>
        <w:t>，指标值：</w:t>
      </w:r>
      <w:r>
        <w:rPr>
          <w:rFonts w:hint="eastAsia"/>
          <w:color w:val="auto"/>
          <w:lang w:val="en-US" w:eastAsia="zh-CN"/>
        </w:rPr>
        <w:t>有效保障</w:t>
      </w:r>
      <w:r>
        <w:rPr>
          <w:rFonts w:hint="eastAsia"/>
          <w:color w:val="auto"/>
        </w:rPr>
        <w:t>，实际完成值</w:t>
      </w:r>
      <w:r>
        <w:rPr>
          <w:rFonts w:hint="eastAsia"/>
          <w:color w:val="auto"/>
          <w:lang w:val="en-US" w:eastAsia="zh-CN"/>
        </w:rPr>
        <w:t>有效保障</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lang w:val="en-US" w:eastAsia="zh-CN"/>
        </w:rPr>
        <w:t>2.</w:t>
      </w:r>
      <w:r>
        <w:rPr>
          <w:rFonts w:hint="eastAsia"/>
          <w:color w:val="auto"/>
        </w:rPr>
        <w:t>可持续影响指标：指标1</w:t>
      </w:r>
      <w:r>
        <w:rPr>
          <w:rFonts w:hint="eastAsia"/>
          <w:color w:val="auto"/>
          <w:lang w:eastAsia="zh-CN"/>
        </w:rPr>
        <w:t>：系统正常使用年限</w:t>
      </w:r>
      <w:r>
        <w:rPr>
          <w:rFonts w:hint="eastAsia"/>
          <w:color w:val="auto"/>
        </w:rPr>
        <w:t>，指标值：</w:t>
      </w:r>
      <w:r>
        <w:rPr>
          <w:rFonts w:hint="eastAsia"/>
          <w:color w:val="auto"/>
          <w:lang w:val="en-US" w:eastAsia="zh-CN"/>
        </w:rPr>
        <w:t>≥1年</w:t>
      </w:r>
      <w:r>
        <w:rPr>
          <w:rFonts w:hint="eastAsia"/>
          <w:color w:val="auto"/>
        </w:rPr>
        <w:t>，实际完成值</w:t>
      </w:r>
      <w:r>
        <w:rPr>
          <w:rFonts w:hint="eastAsia"/>
          <w:color w:val="auto"/>
          <w:lang w:val="en-US" w:eastAsia="zh-CN"/>
        </w:rPr>
        <w:t>1年</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sz w:val="40"/>
          <w:szCs w:val="36"/>
          <w:lang w:val="en-US" w:eastAsia="zh-CN"/>
        </w:rPr>
      </w:pPr>
      <w:r>
        <w:rPr>
          <w:rFonts w:hint="eastAsia"/>
          <w:color w:val="auto"/>
          <w:lang w:val="en-US" w:eastAsia="zh-CN"/>
        </w:rPr>
        <w:t>3.</w:t>
      </w:r>
      <w:r>
        <w:rPr>
          <w:rFonts w:hint="eastAsia"/>
          <w:color w:val="auto"/>
        </w:rPr>
        <w:t>满意度指标：</w:t>
      </w:r>
      <w:r>
        <w:rPr>
          <w:rFonts w:hint="eastAsia"/>
          <w:color w:val="auto"/>
          <w:lang w:eastAsia="zh-CN"/>
        </w:rPr>
        <w:t>指标</w:t>
      </w:r>
      <w:r>
        <w:rPr>
          <w:rFonts w:hint="eastAsia"/>
          <w:color w:val="auto"/>
          <w:lang w:val="en-US" w:eastAsia="zh-CN"/>
        </w:rPr>
        <w:t>1：使用人员满意度，指标值：≥95%，实际完成值100%，指标完成率100%</w:t>
      </w:r>
      <w:r>
        <w:rPr>
          <w:rFonts w:hint="eastAsia"/>
          <w:color w:val="auto"/>
          <w:sz w:val="40"/>
          <w:szCs w:val="36"/>
          <w:lang w:val="en-US" w:eastAsia="zh-CN"/>
        </w:rPr>
        <w:t>。</w:t>
      </w:r>
    </w:p>
    <w:p>
      <w:pPr>
        <w:pStyle w:val="4"/>
        <w:spacing w:line="360" w:lineRule="auto"/>
        <w:rPr>
          <w:rFonts w:ascii="宋体" w:hAnsi="宋体" w:eastAsia="宋体"/>
          <w:sz w:val="32"/>
          <w:szCs w:val="32"/>
        </w:rPr>
      </w:pPr>
      <w:bookmarkStart w:id="16" w:name="_Toc68703842"/>
      <w:r>
        <w:rPr>
          <w:rFonts w:hint="eastAsia" w:ascii="宋体" w:hAnsi="宋体" w:eastAsia="宋体"/>
          <w:color w:val="auto"/>
          <w:sz w:val="32"/>
          <w:szCs w:val="32"/>
        </w:rPr>
        <w:t>五、主要经验及做法、存在的问题及原因</w:t>
      </w:r>
      <w:r>
        <w:rPr>
          <w:rFonts w:hint="eastAsia" w:ascii="宋体" w:hAnsi="宋体" w:eastAsia="宋体"/>
          <w:sz w:val="32"/>
          <w:szCs w:val="32"/>
        </w:rPr>
        <w:t>分析</w:t>
      </w:r>
      <w:bookmarkEnd w:id="16"/>
    </w:p>
    <w:p>
      <w:pPr>
        <w:pStyle w:val="5"/>
        <w:spacing w:line="360" w:lineRule="auto"/>
        <w:rPr>
          <w:rFonts w:hint="eastAsia" w:ascii="仿宋_GB2312" w:eastAsia="仿宋_GB2312"/>
          <w:b w:val="0"/>
          <w:bCs w:val="0"/>
        </w:rPr>
      </w:pPr>
      <w:bookmarkStart w:id="17" w:name="_Toc68703843"/>
      <w:bookmarkStart w:id="18" w:name="_Toc68703845"/>
      <w:r>
        <w:rPr>
          <w:rFonts w:hint="eastAsia" w:ascii="仿宋_GB2312" w:eastAsia="仿宋_GB2312"/>
          <w:b w:val="0"/>
          <w:bCs w:val="0"/>
        </w:rPr>
        <w:t>（一）主要经验及做法</w:t>
      </w:r>
      <w:bookmarkEnd w:id="17"/>
    </w:p>
    <w:p>
      <w:pPr>
        <w:numPr>
          <w:ilvl w:val="0"/>
          <w:numId w:val="0"/>
        </w:numPr>
        <w:spacing w:line="240" w:lineRule="auto"/>
        <w:ind w:firstLine="640" w:firstLineChars="200"/>
        <w:rPr>
          <w:rFonts w:hint="eastAsia"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预算编制前期根据专项资金安排</w:t>
      </w:r>
      <w:r>
        <w:rPr>
          <w:rFonts w:hint="eastAsia" w:ascii="仿宋_GB2312" w:hAnsiTheme="majorHAnsi" w:cstheme="majorBidi"/>
          <w:b w:val="0"/>
          <w:bCs w:val="0"/>
          <w:kern w:val="2"/>
          <w:sz w:val="32"/>
          <w:szCs w:val="32"/>
          <w:lang w:val="en-US" w:eastAsia="zh-CN" w:bidi="ar-SA"/>
        </w:rPr>
        <w:t>的</w:t>
      </w:r>
      <w:r>
        <w:rPr>
          <w:rFonts w:hint="eastAsia" w:ascii="仿宋_GB2312" w:eastAsia="仿宋_GB2312" w:hAnsiTheme="majorHAnsi" w:cstheme="majorBidi"/>
          <w:b w:val="0"/>
          <w:bCs w:val="0"/>
          <w:kern w:val="2"/>
          <w:sz w:val="32"/>
          <w:szCs w:val="32"/>
          <w:lang w:val="en-US" w:eastAsia="zh-CN" w:bidi="ar-SA"/>
        </w:rPr>
        <w:t>项目要求，开展了项目前期绩效评估工作，制定了项目实施工作方案；依据项目实施可预见的工作任务，确定了项目年度预算绩效目标，建立了细化量化的指标体系，细化了预算绩效目标的三级指标，增强了项目预算绩效管理的科学性和公正性。</w:t>
      </w:r>
    </w:p>
    <w:p>
      <w:pPr>
        <w:rPr>
          <w:color w:val="FF0000"/>
        </w:rPr>
      </w:pPr>
    </w:p>
    <w:p>
      <w:pPr>
        <w:pStyle w:val="5"/>
        <w:spacing w:line="360" w:lineRule="auto"/>
        <w:rPr>
          <w:rFonts w:hint="eastAsia" w:ascii="仿宋_GB2312" w:eastAsia="仿宋_GB2312"/>
          <w:b w:val="0"/>
          <w:bCs w:val="0"/>
        </w:rPr>
      </w:pPr>
      <w:bookmarkStart w:id="19" w:name="_Toc68703844"/>
      <w:r>
        <w:rPr>
          <w:rFonts w:hint="eastAsia" w:ascii="仿宋_GB2312" w:eastAsia="仿宋_GB2312"/>
          <w:b w:val="0"/>
          <w:bCs w:val="0"/>
        </w:rPr>
        <w:t>（二）存在的问题及原因分析</w:t>
      </w:r>
      <w:bookmarkEnd w:id="19"/>
    </w:p>
    <w:p>
      <w:pPr>
        <w:spacing w:line="360" w:lineRule="auto"/>
        <w:ind w:firstLine="600" w:firstLineChars="200"/>
        <w:rPr>
          <w:rFonts w:hint="eastAsia"/>
          <w:color w:val="auto"/>
          <w:lang w:val="en-US" w:eastAsia="zh-CN"/>
        </w:rPr>
      </w:pPr>
      <w:r>
        <w:rPr>
          <w:rFonts w:hint="eastAsia"/>
          <w:color w:val="auto"/>
          <w:lang w:val="en-US" w:eastAsia="zh-CN"/>
        </w:rPr>
        <w:t>1、对绩效目标申报不够重视，绩效目标设置量化程度进一步提高。</w:t>
      </w:r>
    </w:p>
    <w:p>
      <w:pPr>
        <w:spacing w:line="360" w:lineRule="auto"/>
        <w:ind w:firstLine="600" w:firstLineChars="200"/>
        <w:rPr>
          <w:rFonts w:hint="eastAsia"/>
          <w:color w:val="auto"/>
          <w:lang w:val="en-US" w:eastAsia="zh-CN"/>
        </w:rPr>
      </w:pPr>
      <w:r>
        <w:rPr>
          <w:rFonts w:hint="eastAsia"/>
          <w:color w:val="auto"/>
          <w:lang w:val="en-US" w:eastAsia="zh-CN"/>
        </w:rPr>
        <w:t>2、工作人员绩效观念模糊，绩效评价工作有待进一步加强和提高。</w:t>
      </w:r>
    </w:p>
    <w:p>
      <w:pPr>
        <w:spacing w:line="360" w:lineRule="auto"/>
        <w:ind w:firstLine="600" w:firstLineChars="200"/>
        <w:rPr>
          <w:rFonts w:hint="eastAsia"/>
          <w:color w:val="auto"/>
          <w:lang w:val="en-US" w:eastAsia="zh-CN"/>
        </w:rPr>
      </w:pPr>
      <w:r>
        <w:rPr>
          <w:rFonts w:hint="eastAsia"/>
          <w:color w:val="auto"/>
          <w:lang w:val="en-US" w:eastAsia="zh-CN"/>
        </w:rPr>
        <w:t>3、财政支出绩效管理工作还有待进一步提高。</w:t>
      </w:r>
    </w:p>
    <w:p>
      <w:pPr>
        <w:pStyle w:val="4"/>
        <w:spacing w:line="360" w:lineRule="auto"/>
        <w:rPr>
          <w:rFonts w:hint="eastAsia" w:ascii="宋体" w:hAnsi="宋体" w:eastAsia="宋体"/>
          <w:sz w:val="32"/>
          <w:szCs w:val="32"/>
        </w:rPr>
      </w:pPr>
      <w:r>
        <w:rPr>
          <w:rFonts w:hint="eastAsia" w:ascii="宋体" w:hAnsi="宋体" w:eastAsia="宋体"/>
          <w:sz w:val="32"/>
          <w:szCs w:val="32"/>
        </w:rPr>
        <w:t>六、有关建议</w:t>
      </w:r>
      <w:bookmarkEnd w:id="18"/>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政策制度方面，部门和单位主要负责同志对本部门本单位预算绩效负责，切实履行内部控制建设的主体责任，结合自身工作实际，加快建立健全科学高效的绩效管理内部管理制度建设，强化对预算执行层面和业务开展的内部流程控制，促进霍城经济开发区经济高质量发展。</w:t>
      </w:r>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项目管理方面，严格按照实施计划开展工作，确保本项目能够严格按照计划高质量完成相关工作。</w:t>
      </w:r>
    </w:p>
    <w:p/>
    <w:p>
      <w:pPr>
        <w:pStyle w:val="4"/>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DA21EC"/>
    <w:multiLevelType w:val="singleLevel"/>
    <w:tmpl w:val="31DA21E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lMWE1MWU4YzBkZTQ5MDNmZTdmY2I5OGI3MWVmYzEifQ=="/>
  </w:docVars>
  <w:rsids>
    <w:rsidRoot w:val="007D49C5"/>
    <w:rsid w:val="000D63FA"/>
    <w:rsid w:val="005B64E8"/>
    <w:rsid w:val="00614288"/>
    <w:rsid w:val="00792CFE"/>
    <w:rsid w:val="007D49C5"/>
    <w:rsid w:val="008175E0"/>
    <w:rsid w:val="008C631D"/>
    <w:rsid w:val="00A114ED"/>
    <w:rsid w:val="00B24331"/>
    <w:rsid w:val="01CB1DC9"/>
    <w:rsid w:val="022133E6"/>
    <w:rsid w:val="0B906A5F"/>
    <w:rsid w:val="0F2A6BF7"/>
    <w:rsid w:val="152169FD"/>
    <w:rsid w:val="1FF36896"/>
    <w:rsid w:val="36B72533"/>
    <w:rsid w:val="38823640"/>
    <w:rsid w:val="38F36742"/>
    <w:rsid w:val="4057649F"/>
    <w:rsid w:val="558A4B13"/>
    <w:rsid w:val="56796849"/>
    <w:rsid w:val="5D5F6439"/>
    <w:rsid w:val="5DA95371"/>
    <w:rsid w:val="672A3F76"/>
    <w:rsid w:val="79B561DE"/>
    <w:rsid w:val="7C7A1EAD"/>
    <w:rsid w:val="7F0D2D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ind w:left="0" w:firstLine="420" w:firstLineChars="200"/>
    </w:pPr>
  </w:style>
  <w:style w:type="paragraph" w:styleId="3">
    <w:name w:val="Body Text Indent"/>
    <w:basedOn w:val="1"/>
    <w:qFormat/>
    <w:uiPriority w:val="0"/>
    <w:pPr>
      <w:spacing w:after="120"/>
      <w:ind w:left="420" w:leftChars="200"/>
    </w:p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rPr>
  </w:style>
  <w:style w:type="character" w:customStyle="1" w:styleId="14">
    <w:name w:val="标题 1 Char"/>
    <w:basedOn w:val="12"/>
    <w:link w:val="4"/>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5"/>
    <w:qFormat/>
    <w:uiPriority w:val="9"/>
    <w:rPr>
      <w:rFonts w:asciiTheme="majorHAnsi" w:hAnsiTheme="majorHAnsi" w:eastAsiaTheme="majorEastAsia" w:cstheme="majorBidi"/>
      <w:b/>
      <w:bCs/>
      <w:sz w:val="32"/>
      <w:szCs w:val="32"/>
    </w:rPr>
  </w:style>
  <w:style w:type="paragraph" w:customStyle="1" w:styleId="16">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7">
    <w:name w:val="页眉 Char"/>
    <w:basedOn w:val="12"/>
    <w:link w:val="8"/>
    <w:semiHidden/>
    <w:qFormat/>
    <w:uiPriority w:val="99"/>
    <w:rPr>
      <w:rFonts w:ascii="Times New Roman" w:hAnsi="Times New Roman" w:eastAsia="仿宋_GB2312" w:cs="Times New Roman"/>
      <w:sz w:val="18"/>
      <w:szCs w:val="18"/>
    </w:rPr>
  </w:style>
  <w:style w:type="character" w:customStyle="1" w:styleId="18">
    <w:name w:val="页脚 Char"/>
    <w:basedOn w:val="12"/>
    <w:link w:val="7"/>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5479</Words>
  <Characters>5674</Characters>
  <Lines>37</Lines>
  <Paragraphs>10</Paragraphs>
  <TotalTime>8</TotalTime>
  <ScaleCrop>false</ScaleCrop>
  <LinksUpToDate>false</LinksUpToDate>
  <CharactersWithSpaces>5683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2023-09-06T04:32:51Z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9934FFD599AC400A874B3A27AB743FF0</vt:lpwstr>
  </property>
</Properties>
</file>