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bookmarkStart w:id="21" w:name="_GoBack"/>
      <w:bookmarkEnd w:id="21"/>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红豆小标宋简体" w:hAnsi="红豆小标宋简体" w:eastAsia="红豆小标宋简体" w:cs="红豆小标宋简体"/>
          <w:color w:val="auto"/>
          <w:kern w:val="0"/>
          <w:sz w:val="36"/>
          <w:szCs w:val="36"/>
        </w:rPr>
        <w:t>（2</w:t>
      </w:r>
      <w:r>
        <w:rPr>
          <w:rFonts w:ascii="红豆小标宋简体" w:hAnsi="红豆小标宋简体" w:eastAsia="红豆小标宋简体" w:cs="红豆小标宋简体"/>
          <w:color w:val="auto"/>
          <w:kern w:val="0"/>
          <w:sz w:val="36"/>
          <w:szCs w:val="36"/>
        </w:rPr>
        <w:t>02</w:t>
      </w:r>
      <w:r>
        <w:rPr>
          <w:rFonts w:hint="eastAsia" w:ascii="红豆小标宋简体" w:hAnsi="红豆小标宋简体" w:eastAsia="红豆小标宋简体" w:cs="红豆小标宋简体"/>
          <w:color w:val="auto"/>
          <w:kern w:val="0"/>
          <w:sz w:val="36"/>
          <w:szCs w:val="36"/>
          <w:lang w:val="en-US" w:eastAsia="zh-CN"/>
        </w:rPr>
        <w:t>2</w:t>
      </w:r>
      <w:r>
        <w:rPr>
          <w:rFonts w:hint="eastAsia" w:ascii="红豆小标宋简体" w:hAnsi="红豆小标宋简体" w:eastAsia="红豆小标宋简体" w:cs="红豆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left="1924" w:leftChars="106" w:hanging="1606" w:hangingChars="500"/>
        <w:rPr>
          <w:rFonts w:ascii="宋体" w:hAnsi="宋体" w:eastAsia="宋体" w:cs="宋体"/>
          <w:b w:val="0"/>
          <w:bCs w:val="0"/>
          <w:color w:val="auto"/>
          <w:kern w:val="0"/>
          <w:sz w:val="32"/>
          <w:szCs w:val="32"/>
        </w:rPr>
      </w:pPr>
      <w:r>
        <w:rPr>
          <w:rFonts w:hint="eastAsia" w:ascii="宋体" w:hAnsi="宋体" w:eastAsia="宋体" w:cs="仿宋_GB2312"/>
          <w:b/>
          <w:bCs/>
          <w:color w:val="auto"/>
          <w:kern w:val="0"/>
          <w:sz w:val="32"/>
          <w:szCs w:val="32"/>
        </w:rPr>
        <w:t>项目名称：</w:t>
      </w:r>
      <w:r>
        <w:rPr>
          <w:rFonts w:hint="eastAsia" w:ascii="宋体" w:hAnsi="宋体" w:eastAsia="宋体" w:cs="仿宋_GB2312"/>
          <w:b w:val="0"/>
          <w:bCs w:val="0"/>
          <w:color w:val="auto"/>
          <w:kern w:val="0"/>
          <w:sz w:val="32"/>
          <w:szCs w:val="32"/>
          <w:lang w:val="en-US" w:eastAsia="zh-CN"/>
        </w:rPr>
        <w:t>2022年中央补助地方公共文化服务体系建设（重点项目）补助资金</w:t>
      </w:r>
    </w:p>
    <w:p>
      <w:pPr>
        <w:spacing w:line="560" w:lineRule="exact"/>
        <w:ind w:firstLine="321" w:firstLineChars="100"/>
        <w:rPr>
          <w:rFonts w:hint="default" w:ascii="宋体" w:hAnsi="宋体" w:eastAsia="宋体" w:cs="宋体"/>
          <w:b w:val="0"/>
          <w:bCs w:val="0"/>
          <w:color w:val="auto"/>
          <w:kern w:val="0"/>
          <w:sz w:val="32"/>
          <w:szCs w:val="32"/>
          <w:lang w:val="en-US" w:eastAsia="zh-CN"/>
        </w:rPr>
      </w:pPr>
      <w:r>
        <w:rPr>
          <w:rFonts w:hint="eastAsia" w:ascii="宋体" w:hAnsi="宋体" w:eastAsia="宋体" w:cs="仿宋_GB2312"/>
          <w:b/>
          <w:bCs/>
          <w:color w:val="auto"/>
          <w:kern w:val="0"/>
          <w:sz w:val="32"/>
          <w:szCs w:val="32"/>
        </w:rPr>
        <w:t>实施单位（公章）：</w:t>
      </w:r>
      <w:r>
        <w:rPr>
          <w:rFonts w:hint="eastAsia" w:ascii="宋体" w:hAnsi="宋体" w:eastAsia="宋体" w:cs="仿宋_GB2312"/>
          <w:b w:val="0"/>
          <w:bCs w:val="0"/>
          <w:color w:val="auto"/>
          <w:kern w:val="0"/>
          <w:sz w:val="32"/>
          <w:szCs w:val="32"/>
          <w:lang w:val="en-US" w:eastAsia="zh-CN"/>
        </w:rPr>
        <w:t>霍城县融媒体中心</w:t>
      </w:r>
    </w:p>
    <w:p>
      <w:pPr>
        <w:spacing w:line="560" w:lineRule="exact"/>
        <w:ind w:firstLine="321" w:firstLineChars="100"/>
        <w:rPr>
          <w:rFonts w:hint="default" w:ascii="宋体" w:hAnsi="宋体" w:eastAsia="宋体" w:cs="宋体"/>
          <w:b w:val="0"/>
          <w:bCs w:val="0"/>
          <w:color w:val="auto"/>
          <w:kern w:val="0"/>
          <w:sz w:val="32"/>
          <w:szCs w:val="32"/>
          <w:lang w:val="en-US" w:eastAsia="zh-CN"/>
        </w:rPr>
      </w:pPr>
      <w:r>
        <w:rPr>
          <w:rFonts w:hint="eastAsia" w:ascii="宋体" w:hAnsi="宋体" w:eastAsia="宋体" w:cs="仿宋_GB2312"/>
          <w:b/>
          <w:bCs/>
          <w:color w:val="auto"/>
          <w:kern w:val="0"/>
          <w:sz w:val="32"/>
          <w:szCs w:val="32"/>
        </w:rPr>
        <w:t>主管部门（公章）：</w:t>
      </w:r>
      <w:r>
        <w:rPr>
          <w:rFonts w:hint="eastAsia" w:ascii="宋体" w:hAnsi="宋体" w:eastAsia="宋体" w:cs="仿宋_GB2312"/>
          <w:b w:val="0"/>
          <w:bCs w:val="0"/>
          <w:color w:val="auto"/>
          <w:kern w:val="0"/>
          <w:sz w:val="32"/>
          <w:szCs w:val="32"/>
          <w:lang w:val="en-US" w:eastAsia="zh-CN"/>
        </w:rPr>
        <w:t>霍城县融媒体中心</w:t>
      </w:r>
    </w:p>
    <w:p>
      <w:pPr>
        <w:spacing w:line="560" w:lineRule="exact"/>
        <w:ind w:firstLine="321" w:firstLineChars="100"/>
        <w:rPr>
          <w:rFonts w:hint="eastAsia" w:ascii="宋体" w:hAnsi="宋体" w:eastAsia="宋体" w:cs="宋体"/>
          <w:b w:val="0"/>
          <w:bCs w:val="0"/>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hint="eastAsia" w:ascii="宋体" w:hAnsi="宋体" w:eastAsia="宋体" w:cs="仿宋_GB2312"/>
          <w:b w:val="0"/>
          <w:bCs w:val="0"/>
          <w:color w:val="auto"/>
          <w:kern w:val="0"/>
          <w:sz w:val="32"/>
          <w:szCs w:val="32"/>
          <w:lang w:val="en-US" w:eastAsia="zh-CN"/>
        </w:rPr>
        <w:t>张文臻</w:t>
      </w:r>
    </w:p>
    <w:p>
      <w:pPr>
        <w:spacing w:line="560" w:lineRule="exact"/>
        <w:ind w:firstLine="321" w:firstLineChars="100"/>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年</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月</w:t>
      </w:r>
      <w:r>
        <w:rPr>
          <w:rFonts w:hint="eastAsia" w:ascii="宋体" w:hAnsi="宋体" w:eastAsia="宋体" w:cs="仿宋_GB2312"/>
          <w:color w:val="auto"/>
          <w:kern w:val="0"/>
          <w:sz w:val="32"/>
          <w:szCs w:val="32"/>
          <w:lang w:val="en-US" w:eastAsia="zh-CN"/>
        </w:rPr>
        <w:t>17</w:t>
      </w:r>
      <w:r>
        <w:rPr>
          <w:rFonts w:hint="eastAsia" w:ascii="宋体" w:hAnsi="宋体" w:eastAsia="宋体" w:cs="仿宋_GB2312"/>
          <w:color w:val="auto"/>
          <w:kern w:val="0"/>
          <w:sz w:val="32"/>
          <w:szCs w:val="32"/>
        </w:rPr>
        <w:t>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Arial" w:hAnsi="Arial" w:eastAsia="宋体" w:cs="Arial"/>
          <w:b/>
          <w:bCs/>
          <w:color w:val="auto"/>
          <w:sz w:val="36"/>
          <w:szCs w:val="36"/>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jc w:val="center"/>
        <w:rPr>
          <w:rFonts w:ascii="仿宋_GB2312"/>
          <w:color w:val="auto"/>
          <w:szCs w:val="30"/>
        </w:rPr>
      </w:pPr>
    </w:p>
    <w:p>
      <w:pPr>
        <w:pStyle w:val="2"/>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3"/>
        <w:spacing w:line="360" w:lineRule="auto"/>
        <w:rPr>
          <w:rFonts w:hint="eastAsia" w:ascii="仿宋_GB2312" w:eastAsia="仿宋_GB2312"/>
          <w:b w:val="0"/>
          <w:bCs w:val="0"/>
          <w:color w:val="auto"/>
        </w:rPr>
      </w:pPr>
      <w:bookmarkStart w:id="1" w:name="_Toc68703828"/>
      <w:r>
        <w:rPr>
          <w:rFonts w:hint="eastAsia" w:ascii="仿宋_GB2312" w:eastAsia="仿宋_GB2312"/>
          <w:b w:val="0"/>
          <w:bCs w:val="0"/>
          <w:color w:val="auto"/>
        </w:rPr>
        <w:t>（一）项目概况。</w:t>
      </w:r>
      <w:bookmarkEnd w:id="1"/>
    </w:p>
    <w:p>
      <w:pPr>
        <w:spacing w:line="360" w:lineRule="auto"/>
        <w:ind w:firstLine="600" w:firstLineChars="200"/>
        <w:rPr>
          <w:rFonts w:hint="eastAsia" w:ascii="仿宋_GB2312"/>
          <w:color w:val="auto"/>
          <w:lang w:eastAsia="zh-CN"/>
        </w:rPr>
      </w:pPr>
      <w:r>
        <w:rPr>
          <w:rFonts w:hint="eastAsia" w:ascii="仿宋_GB2312"/>
          <w:color w:val="auto"/>
        </w:rPr>
        <w:t>1</w:t>
      </w:r>
      <w:r>
        <w:rPr>
          <w:rFonts w:hint="eastAsia" w:ascii="仿宋_GB2312"/>
          <w:color w:val="auto"/>
          <w:lang w:val="en-US" w:eastAsia="zh-CN"/>
        </w:rPr>
        <w:t>.</w:t>
      </w:r>
      <w:r>
        <w:rPr>
          <w:rFonts w:hint="eastAsia" w:ascii="仿宋_GB2312"/>
          <w:color w:val="auto"/>
        </w:rPr>
        <w:t>项目背景</w:t>
      </w:r>
    </w:p>
    <w:p>
      <w:pPr>
        <w:spacing w:line="360" w:lineRule="auto"/>
        <w:ind w:firstLine="600" w:firstLineChars="200"/>
        <w:rPr>
          <w:rFonts w:hint="default" w:ascii="仿宋_GB2312" w:eastAsia="仿宋_GB2312"/>
          <w:color w:val="auto"/>
          <w:lang w:val="en-US" w:eastAsia="zh-CN"/>
        </w:rPr>
      </w:pPr>
      <w:r>
        <w:rPr>
          <w:rFonts w:hint="eastAsia" w:ascii="仿宋_GB2312"/>
          <w:color w:val="auto"/>
          <w:lang w:val="en-US" w:eastAsia="zh-CN"/>
        </w:rPr>
        <w:t>为规范和加强中央支持地方公共文化服务体系建设补助资金，用于支持地方提供基本公共文化服务项目、公共文化体育设施维修和设备购置等，中央下达专项资金43.41万元用于2022年中央广播电视节目无线覆盖工程（模拟信号覆盖）及（数字）运行维护费用。</w:t>
      </w:r>
    </w:p>
    <w:p>
      <w:pPr>
        <w:spacing w:line="360" w:lineRule="auto"/>
        <w:ind w:firstLine="600" w:firstLineChars="200"/>
        <w:rPr>
          <w:rFonts w:ascii="仿宋_GB2312"/>
          <w:color w:val="auto"/>
        </w:rPr>
      </w:pPr>
      <w:r>
        <w:rPr>
          <w:rFonts w:hint="eastAsia" w:ascii="仿宋_GB2312"/>
          <w:color w:val="auto"/>
        </w:rPr>
        <w:t>2</w:t>
      </w:r>
      <w:r>
        <w:rPr>
          <w:rFonts w:hint="eastAsia" w:ascii="仿宋_GB2312"/>
          <w:color w:val="auto"/>
          <w:lang w:val="en-US" w:eastAsia="zh-CN"/>
        </w:rPr>
        <w:t>.</w:t>
      </w:r>
      <w:r>
        <w:rPr>
          <w:rFonts w:hint="eastAsia" w:ascii="仿宋_GB2312"/>
          <w:color w:val="auto"/>
        </w:rPr>
        <w:t>主要内容</w:t>
      </w:r>
      <w:r>
        <w:rPr>
          <w:rFonts w:hint="eastAsia"/>
          <w:color w:val="auto"/>
        </w:rPr>
        <w:t>及</w:t>
      </w:r>
      <w:r>
        <w:rPr>
          <w:rFonts w:hint="eastAsia" w:ascii="仿宋_GB2312"/>
          <w:color w:val="auto"/>
        </w:rPr>
        <w:t>实施情况</w:t>
      </w:r>
    </w:p>
    <w:p>
      <w:pPr>
        <w:spacing w:line="360" w:lineRule="auto"/>
        <w:ind w:firstLine="600" w:firstLineChars="200"/>
        <w:rPr>
          <w:rFonts w:ascii="仿宋_GB2312"/>
          <w:color w:val="auto"/>
        </w:rPr>
      </w:pPr>
      <w:r>
        <w:rPr>
          <w:rFonts w:hint="eastAsia" w:ascii="仿宋_GB2312"/>
          <w:color w:val="auto"/>
        </w:rPr>
        <w:t>主要内容：</w:t>
      </w:r>
      <w:r>
        <w:rPr>
          <w:rFonts w:hint="default" w:ascii="Times New Roman" w:hAnsi="Times New Roman" w:cs="Times New Roman"/>
          <w:color w:val="auto"/>
          <w:lang w:val="en-US" w:eastAsia="zh-CN"/>
        </w:rPr>
        <w:t>经费主要用于</w:t>
      </w:r>
      <w:r>
        <w:rPr>
          <w:rFonts w:hint="eastAsia" w:cs="Times New Roman"/>
          <w:color w:val="auto"/>
          <w:lang w:val="en-US" w:eastAsia="zh-CN"/>
        </w:rPr>
        <w:t>中央广播电视</w:t>
      </w:r>
      <w:r>
        <w:rPr>
          <w:rFonts w:hint="default" w:ascii="Times New Roman" w:hAnsi="Times New Roman" w:cs="Times New Roman"/>
          <w:color w:val="auto"/>
          <w:lang w:val="en-US" w:eastAsia="zh-CN"/>
        </w:rPr>
        <w:t>节目</w:t>
      </w:r>
      <w:r>
        <w:rPr>
          <w:rFonts w:hint="eastAsia" w:cs="Times New Roman"/>
          <w:color w:val="auto"/>
          <w:lang w:val="en-US" w:eastAsia="zh-CN"/>
        </w:rPr>
        <w:t>无线覆盖工程（模拟信号覆盖）及中央广播电视节目无线覆盖（数字）</w:t>
      </w:r>
      <w:r>
        <w:rPr>
          <w:rFonts w:hint="default" w:ascii="Times New Roman" w:hAnsi="Times New Roman" w:cs="Times New Roman"/>
          <w:color w:val="auto"/>
          <w:lang w:val="en-US" w:eastAsia="zh-CN"/>
        </w:rPr>
        <w:t>维护费用</w:t>
      </w:r>
      <w:r>
        <w:rPr>
          <w:rFonts w:hint="eastAsia" w:ascii="Times New Roman" w:hAnsi="Times New Roman" w:cs="Times New Roman"/>
          <w:color w:val="auto"/>
          <w:lang w:val="en-US" w:eastAsia="zh-CN"/>
        </w:rPr>
        <w:t>。</w:t>
      </w:r>
    </w:p>
    <w:p>
      <w:pPr>
        <w:spacing w:line="360" w:lineRule="auto"/>
        <w:ind w:firstLine="600" w:firstLineChars="200"/>
        <w:rPr>
          <w:rFonts w:ascii="仿宋_GB2312"/>
          <w:color w:val="auto"/>
        </w:rPr>
      </w:pPr>
      <w:r>
        <w:rPr>
          <w:rFonts w:hint="eastAsia" w:ascii="仿宋_GB2312"/>
          <w:color w:val="auto"/>
        </w:rPr>
        <w:t>实施情况：</w:t>
      </w:r>
      <w:r>
        <w:rPr>
          <w:rFonts w:hint="default" w:ascii="Times New Roman" w:hAnsi="Times New Roman" w:cs="Times New Roman"/>
          <w:color w:val="auto"/>
          <w:lang w:val="en-US" w:eastAsia="zh-CN"/>
        </w:rPr>
        <w:t>对转播</w:t>
      </w:r>
      <w:r>
        <w:rPr>
          <w:rFonts w:hint="eastAsia" w:cs="Times New Roman"/>
          <w:color w:val="auto"/>
          <w:lang w:val="en-US" w:eastAsia="zh-CN"/>
        </w:rPr>
        <w:t>中央</w:t>
      </w:r>
      <w:r>
        <w:rPr>
          <w:rFonts w:hint="default" w:ascii="Times New Roman" w:hAnsi="Times New Roman" w:cs="Times New Roman"/>
          <w:color w:val="auto"/>
          <w:lang w:val="en-US" w:eastAsia="zh-CN"/>
        </w:rPr>
        <w:t>广播</w:t>
      </w:r>
      <w:r>
        <w:rPr>
          <w:rFonts w:hint="eastAsia" w:cs="Times New Roman"/>
          <w:color w:val="auto"/>
          <w:lang w:val="en-US" w:eastAsia="zh-CN"/>
        </w:rPr>
        <w:t>电视</w:t>
      </w:r>
      <w:r>
        <w:rPr>
          <w:rFonts w:hint="default" w:ascii="Times New Roman" w:hAnsi="Times New Roman" w:cs="Times New Roman"/>
          <w:color w:val="auto"/>
          <w:lang w:val="en-US" w:eastAsia="zh-CN"/>
        </w:rPr>
        <w:t>节目的</w:t>
      </w:r>
      <w:r>
        <w:rPr>
          <w:rFonts w:hint="eastAsia" w:cs="Times New Roman"/>
          <w:color w:val="auto"/>
          <w:lang w:val="en-US" w:eastAsia="zh-CN"/>
        </w:rPr>
        <w:t>北山坡调频</w:t>
      </w:r>
      <w:r>
        <w:rPr>
          <w:rFonts w:hint="default" w:ascii="Times New Roman" w:hAnsi="Times New Roman" w:cs="Times New Roman"/>
          <w:color w:val="auto"/>
          <w:lang w:val="en-US" w:eastAsia="zh-CN"/>
        </w:rPr>
        <w:t>发射机及电源设备进行了维护管理、旧损部件进行购买更换、对发射机电源进行保障、对所在机房的制冷、供暖设备进行维护管理、对值机人员食宿</w:t>
      </w:r>
      <w:r>
        <w:rPr>
          <w:rFonts w:hint="eastAsia" w:cs="Times New Roman"/>
          <w:color w:val="auto"/>
          <w:lang w:val="en-US" w:eastAsia="zh-CN"/>
        </w:rPr>
        <w:t>等</w:t>
      </w:r>
      <w:r>
        <w:rPr>
          <w:rFonts w:hint="default" w:ascii="Times New Roman" w:hAnsi="Times New Roman" w:cs="Times New Roman"/>
          <w:color w:val="auto"/>
          <w:lang w:val="en-US" w:eastAsia="zh-CN"/>
        </w:rPr>
        <w:t>进行保障</w:t>
      </w:r>
      <w:r>
        <w:rPr>
          <w:rFonts w:hint="eastAsia" w:ascii="Times New Roman" w:hAnsi="Times New Roman" w:cs="Times New Roman"/>
          <w:color w:val="auto"/>
          <w:lang w:val="en-US" w:eastAsia="zh-CN"/>
        </w:rPr>
        <w:t>。</w:t>
      </w:r>
    </w:p>
    <w:p>
      <w:pPr>
        <w:spacing w:line="360" w:lineRule="auto"/>
        <w:ind w:firstLine="600" w:firstLineChars="200"/>
        <w:rPr>
          <w:rFonts w:ascii="仿宋_GB2312"/>
          <w:color w:val="auto"/>
        </w:rPr>
      </w:pPr>
      <w:r>
        <w:rPr>
          <w:rFonts w:ascii="仿宋_GB2312"/>
          <w:color w:val="auto"/>
        </w:rPr>
        <w:t>3</w:t>
      </w:r>
      <w:r>
        <w:rPr>
          <w:rFonts w:hint="eastAsia" w:ascii="仿宋_GB2312"/>
          <w:color w:val="auto"/>
          <w:lang w:val="en-US" w:eastAsia="zh-CN"/>
        </w:rPr>
        <w:t>.</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43.41</w:t>
      </w:r>
      <w:r>
        <w:rPr>
          <w:rFonts w:hint="eastAsia"/>
          <w:color w:val="auto"/>
        </w:rPr>
        <w:t>万元，全年预算数</w:t>
      </w:r>
      <w:r>
        <w:rPr>
          <w:rFonts w:hint="eastAsia"/>
          <w:color w:val="auto"/>
          <w:lang w:val="en-US" w:eastAsia="zh-CN"/>
        </w:rPr>
        <w:t>43.41</w:t>
      </w:r>
      <w:r>
        <w:rPr>
          <w:rFonts w:hint="eastAsia"/>
          <w:color w:val="auto"/>
        </w:rPr>
        <w:t>万元，实际总投入</w:t>
      </w:r>
      <w:r>
        <w:rPr>
          <w:rFonts w:hint="eastAsia"/>
          <w:color w:val="auto"/>
          <w:lang w:val="en-US" w:eastAsia="zh-CN"/>
        </w:rPr>
        <w:t>43.41</w:t>
      </w:r>
      <w:r>
        <w:rPr>
          <w:rFonts w:hint="eastAsia"/>
          <w:color w:val="auto"/>
        </w:rPr>
        <w:t>万元，该项目资金落实到位</w:t>
      </w:r>
      <w:r>
        <w:rPr>
          <w:rFonts w:hint="eastAsia"/>
          <w:color w:val="auto"/>
          <w:lang w:val="en-US" w:eastAsia="zh-CN"/>
        </w:rPr>
        <w:t>43.16</w:t>
      </w:r>
      <w:r>
        <w:rPr>
          <w:rFonts w:hint="eastAsia"/>
          <w:color w:val="auto"/>
        </w:rPr>
        <w:t>万元，资金来源为</w:t>
      </w:r>
      <w:r>
        <w:rPr>
          <w:rFonts w:hint="eastAsia"/>
          <w:color w:val="auto"/>
          <w:lang w:eastAsia="zh-CN"/>
        </w:rPr>
        <w:t>中央转移支付</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43.41</w:t>
      </w:r>
      <w:r>
        <w:rPr>
          <w:rFonts w:hint="eastAsia"/>
          <w:color w:val="auto"/>
        </w:rPr>
        <w:t>万元，全年预算数</w:t>
      </w:r>
      <w:r>
        <w:rPr>
          <w:rFonts w:hint="eastAsia"/>
          <w:color w:val="auto"/>
          <w:lang w:val="en-US" w:eastAsia="zh-CN"/>
        </w:rPr>
        <w:t>43.41</w:t>
      </w:r>
      <w:r>
        <w:rPr>
          <w:rFonts w:hint="eastAsia"/>
          <w:color w:val="auto"/>
        </w:rPr>
        <w:t>万元，全年执行数</w:t>
      </w:r>
      <w:r>
        <w:rPr>
          <w:rFonts w:hint="eastAsia"/>
          <w:color w:val="auto"/>
          <w:lang w:val="en-US" w:eastAsia="zh-CN"/>
        </w:rPr>
        <w:t>43.16</w:t>
      </w:r>
      <w:r>
        <w:rPr>
          <w:rFonts w:hint="eastAsia"/>
          <w:color w:val="auto"/>
        </w:rPr>
        <w:t>万元，预算执行率为</w:t>
      </w:r>
      <w:r>
        <w:rPr>
          <w:rFonts w:hint="eastAsia"/>
          <w:color w:val="auto"/>
          <w:lang w:val="en-US" w:eastAsia="zh-CN"/>
        </w:rPr>
        <w:t>99.42</w:t>
      </w:r>
      <w:r>
        <w:rPr>
          <w:rFonts w:hint="eastAsia"/>
          <w:color w:val="auto"/>
        </w:rPr>
        <w:t>%，用于：</w:t>
      </w:r>
      <w:r>
        <w:rPr>
          <w:rFonts w:hint="eastAsia"/>
          <w:color w:val="auto"/>
          <w:lang w:val="en-US" w:eastAsia="zh-CN"/>
        </w:rPr>
        <w:t>霍城县北山坡电视发射台转播中央广播电视节目无线覆盖工程（模拟信号覆盖）5.71</w:t>
      </w:r>
      <w:r>
        <w:rPr>
          <w:rFonts w:hint="eastAsia"/>
          <w:color w:val="auto"/>
        </w:rPr>
        <w:t>万元</w:t>
      </w:r>
      <w:r>
        <w:rPr>
          <w:rFonts w:hint="eastAsia"/>
          <w:color w:val="auto"/>
          <w:lang w:eastAsia="zh-CN"/>
        </w:rPr>
        <w:t>，</w:t>
      </w:r>
      <w:r>
        <w:rPr>
          <w:rFonts w:hint="eastAsia"/>
          <w:color w:val="auto"/>
          <w:lang w:val="en-US" w:eastAsia="zh-CN"/>
        </w:rPr>
        <w:t>转播中央数字广播6.5万元，转播中央数字电视30.95万元</w:t>
      </w:r>
      <w:r>
        <w:rPr>
          <w:rFonts w:hint="eastAsia"/>
          <w:color w:val="auto"/>
        </w:rPr>
        <w:t>。</w:t>
      </w:r>
    </w:p>
    <w:p>
      <w:pPr>
        <w:pStyle w:val="3"/>
        <w:spacing w:line="360" w:lineRule="auto"/>
        <w:ind w:firstLine="640" w:firstLineChars="200"/>
        <w:rPr>
          <w:rFonts w:hint="eastAsia"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numPr>
          <w:ilvl w:val="0"/>
          <w:numId w:val="1"/>
        </w:numPr>
        <w:spacing w:line="360" w:lineRule="auto"/>
        <w:ind w:firstLine="600" w:firstLineChars="200"/>
        <w:rPr>
          <w:rFonts w:hint="eastAsia"/>
          <w:color w:val="auto"/>
        </w:rPr>
      </w:pPr>
      <w:r>
        <w:rPr>
          <w:rFonts w:hint="eastAsia"/>
          <w:color w:val="auto"/>
        </w:rPr>
        <w:t>总体目标：目标1：中央广播电视节目无线覆盖工程是推进基本公共文化服务标准化、均等化的重要任务，是切实保障城乡居民听好广播、看好电视的重要举措，是通过项目的实施可进一步巩固中央广播电视节目无线覆盖成果，进一步提升广播电视公共服务水平和质量。 目标2：实现个发射台站按规定完整转播好中央电视节目，做到“满功率、满调幅度、满时间”安全播出。</w:t>
      </w:r>
    </w:p>
    <w:p>
      <w:pPr>
        <w:spacing w:line="360" w:lineRule="auto"/>
        <w:ind w:firstLine="600" w:firstLineChars="200"/>
        <w:rPr>
          <w:rFonts w:hint="default" w:eastAsia="仿宋_GB2312"/>
          <w:color w:val="auto"/>
          <w:lang w:val="en-US" w:eastAsia="zh-CN"/>
        </w:rPr>
      </w:pPr>
      <w:r>
        <w:rPr>
          <w:color w:val="auto"/>
        </w:rPr>
        <w:t>2</w:t>
      </w:r>
      <w:r>
        <w:rPr>
          <w:rFonts w:hint="eastAsia"/>
          <w:color w:val="auto"/>
          <w:lang w:val="en-US" w:eastAsia="zh-CN"/>
        </w:rPr>
        <w:t>.</w:t>
      </w:r>
      <w:r>
        <w:rPr>
          <w:rFonts w:hint="eastAsia"/>
          <w:color w:val="auto"/>
        </w:rPr>
        <w:t>阶段性目标：</w:t>
      </w:r>
      <w:r>
        <w:rPr>
          <w:rFonts w:hint="default" w:ascii="Times New Roman" w:hAnsi="Times New Roman" w:cs="Times New Roman"/>
          <w:color w:val="auto"/>
          <w:lang w:val="en-US" w:eastAsia="zh-CN"/>
        </w:rPr>
        <w:t>霍城县总人口28万，</w:t>
      </w:r>
      <w:r>
        <w:rPr>
          <w:rFonts w:hint="eastAsia" w:cs="Times New Roman"/>
          <w:color w:val="auto"/>
          <w:lang w:val="en-US" w:eastAsia="zh-CN"/>
        </w:rPr>
        <w:t>有效</w:t>
      </w:r>
      <w:r>
        <w:rPr>
          <w:rFonts w:hint="eastAsia"/>
          <w:color w:val="auto"/>
          <w:lang w:val="en-US" w:eastAsia="zh-CN"/>
        </w:rPr>
        <w:t>实现霍城县转播中央广播电视节目（模拟信号覆盖）及（数字）全覆盖。</w:t>
      </w:r>
    </w:p>
    <w:p>
      <w:pPr>
        <w:pStyle w:val="2"/>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3"/>
        <w:spacing w:line="360" w:lineRule="auto"/>
        <w:rPr>
          <w:rFonts w:hint="eastAsia"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rPr>
          <w:color w:val="auto"/>
        </w:rPr>
      </w:pPr>
      <w:r>
        <w:rPr>
          <w:rFonts w:hint="eastAsia"/>
          <w:color w:val="auto"/>
        </w:rPr>
        <w:t>1</w:t>
      </w:r>
      <w:r>
        <w:rPr>
          <w:rFonts w:hint="eastAsia"/>
          <w:color w:val="auto"/>
          <w:lang w:val="en-US" w:eastAsia="zh-CN"/>
        </w:rPr>
        <w:t>.</w:t>
      </w:r>
      <w:r>
        <w:rPr>
          <w:rFonts w:hint="eastAsia"/>
          <w:color w:val="auto"/>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2022年中央补助地方公共文化服务体系建设（重点项目）补助资金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00" w:firstLineChars="200"/>
        <w:rPr>
          <w:color w:val="auto"/>
        </w:rPr>
      </w:pPr>
      <w:r>
        <w:rPr>
          <w:rFonts w:hint="eastAsia"/>
          <w:color w:val="auto"/>
        </w:rPr>
        <w:t>2022年中央补助地方公共文化服务体系建设（重点项目）补助资金</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2022年中央补助地方公共文化服务体系建设（重点项目）补助资金评价，评价核心为资金的支出完成情况和效果。</w:t>
      </w:r>
    </w:p>
    <w:p>
      <w:pPr>
        <w:spacing w:line="360" w:lineRule="auto"/>
        <w:rPr>
          <w:color w:val="auto"/>
        </w:rPr>
      </w:pPr>
    </w:p>
    <w:p>
      <w:pPr>
        <w:pStyle w:val="3"/>
        <w:spacing w:line="360" w:lineRule="auto"/>
        <w:rPr>
          <w:rFonts w:hint="eastAsia"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霍城县人民政府</w:t>
      </w:r>
      <w:r>
        <w:rPr>
          <w:rFonts w:hint="eastAsia" w:ascii="仿宋_GB2312"/>
          <w:bCs/>
          <w:color w:val="auto"/>
          <w:sz w:val="32"/>
          <w:szCs w:val="32"/>
        </w:rPr>
        <w:t>网站上，并自觉接受社会监督。</w:t>
      </w:r>
    </w:p>
    <w:p>
      <w:pPr>
        <w:spacing w:line="360" w:lineRule="auto"/>
        <w:rPr>
          <w:color w:val="auto"/>
        </w:rPr>
      </w:pPr>
    </w:p>
    <w:p>
      <w:pPr>
        <w:spacing w:line="360" w:lineRule="auto"/>
        <w:ind w:firstLine="600" w:firstLineChars="200"/>
        <w:jc w:val="left"/>
        <w:rPr>
          <w:rFonts w:hint="eastAsia"/>
          <w:color w:val="auto"/>
        </w:rPr>
      </w:pPr>
      <w:r>
        <w:rPr>
          <w:rFonts w:hint="eastAsia"/>
          <w:color w:val="auto"/>
        </w:rPr>
        <w:t>2、评价指标体系（附表说明）</w:t>
      </w:r>
    </w:p>
    <w:p>
      <w:pPr>
        <w:pStyle w:val="3"/>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rPr>
        <w:t>2022年中央补助地方公共文化服务体系建设（重点项目）补助资金项目支出绩效评价指标体系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vAlign w:val="top"/>
          </w:tcPr>
          <w:p>
            <w:pPr>
              <w:spacing w:line="600" w:lineRule="auto"/>
              <w:jc w:val="center"/>
              <w:rPr>
                <w:rFonts w:hint="default"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4</w:t>
            </w:r>
          </w:p>
        </w:tc>
        <w:tc>
          <w:tcPr>
            <w:tcW w:w="874" w:type="dxa"/>
            <w:shd w:val="clear" w:color="auto" w:fill="FFFFFF"/>
            <w:vAlign w:val="top"/>
          </w:tcPr>
          <w:p>
            <w:pPr>
              <w:spacing w:line="600" w:lineRule="auto"/>
              <w:jc w:val="center"/>
              <w:rPr>
                <w:rFonts w:hint="default"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default"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9.97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99.97</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color w:val="auto"/>
        </w:rPr>
      </w:pPr>
      <w:r>
        <w:rPr>
          <w:rFonts w:hint="eastAsia"/>
          <w:color w:val="auto"/>
        </w:rPr>
        <w:t>3、评价方法</w:t>
      </w:r>
    </w:p>
    <w:p>
      <w:pPr>
        <w:spacing w:line="360" w:lineRule="auto"/>
        <w:ind w:firstLine="640" w:firstLineChars="200"/>
        <w:rPr>
          <w:bCs/>
          <w:color w:val="auto"/>
          <w:sz w:val="32"/>
          <w:szCs w:val="32"/>
        </w:rPr>
      </w:pPr>
      <w:r>
        <w:rPr>
          <w:rFonts w:hint="eastAsia"/>
          <w:bCs/>
          <w:color w:val="auto"/>
          <w:sz w:val="32"/>
          <w:szCs w:val="32"/>
        </w:rPr>
        <w:t>本次项目支出绩效自评采用</w:t>
      </w:r>
      <w:r>
        <w:rPr>
          <w:rFonts w:hint="eastAsia"/>
          <w:bCs/>
          <w:color w:val="auto"/>
          <w:sz w:val="32"/>
          <w:szCs w:val="32"/>
          <w:lang w:val="en-US" w:eastAsia="zh-CN"/>
        </w:rPr>
        <w:t>成本效益分析</w:t>
      </w:r>
      <w:r>
        <w:rPr>
          <w:rFonts w:hint="eastAsia"/>
          <w:bCs/>
          <w:color w:val="auto"/>
          <w:sz w:val="32"/>
          <w:szCs w:val="32"/>
        </w:rPr>
        <w:t>方法，原因是：</w:t>
      </w:r>
      <w:r>
        <w:rPr>
          <w:rFonts w:hint="eastAsia" w:ascii="Times New Roman" w:hAnsi="Times New Roman" w:cs="Times New Roman"/>
          <w:color w:val="auto"/>
          <w:lang w:val="en-US" w:eastAsia="zh-CN"/>
        </w:rPr>
        <w:t>计算出成本和收益，通过比较方法，将项目所有成本和收益一一列出，并进行量化。通过有效量化社会效益的公共事业，体现项目经济价值及社会效益。</w:t>
      </w:r>
    </w:p>
    <w:p>
      <w:pPr>
        <w:spacing w:line="360" w:lineRule="auto"/>
        <w:rPr>
          <w:color w:val="auto"/>
        </w:rPr>
      </w:pP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评价标准</w:t>
      </w:r>
    </w:p>
    <w:p>
      <w:pPr>
        <w:spacing w:line="360" w:lineRule="auto"/>
        <w:ind w:firstLine="640" w:firstLineChars="200"/>
        <w:rPr>
          <w:bCs/>
          <w:color w:val="auto"/>
          <w:sz w:val="32"/>
          <w:szCs w:val="32"/>
        </w:rPr>
      </w:pPr>
      <w:r>
        <w:rPr>
          <w:rFonts w:hint="eastAsia"/>
          <w:bCs/>
          <w:color w:val="auto"/>
          <w:sz w:val="32"/>
          <w:szCs w:val="32"/>
        </w:rPr>
        <w:t>本次项目支出绩效自评采用</w:t>
      </w:r>
      <w:r>
        <w:rPr>
          <w:rFonts w:hint="eastAsia"/>
          <w:bCs/>
          <w:color w:val="auto"/>
          <w:sz w:val="32"/>
          <w:szCs w:val="32"/>
          <w:lang w:val="en-US" w:eastAsia="zh-CN"/>
        </w:rPr>
        <w:t>计划</w:t>
      </w:r>
      <w:r>
        <w:rPr>
          <w:rFonts w:hint="eastAsia"/>
          <w:bCs/>
          <w:color w:val="auto"/>
          <w:sz w:val="32"/>
          <w:szCs w:val="32"/>
        </w:rPr>
        <w:t>标准，原因是：</w:t>
      </w:r>
      <w:r>
        <w:rPr>
          <w:rFonts w:hint="eastAsia" w:ascii="Times New Roman" w:hAnsi="Times New Roman" w:cs="Times New Roman"/>
          <w:color w:val="auto"/>
          <w:lang w:val="en-US" w:eastAsia="zh-CN"/>
        </w:rPr>
        <w:t>以单位预先制定的考核目标、预算、满意度等作为评价标准，对项目完成情况进行阶段性监控及有效对比，确保评价具有时效性及客观准确性</w:t>
      </w:r>
      <w:r>
        <w:rPr>
          <w:rFonts w:hint="default" w:ascii="Times New Roman" w:hAnsi="Times New Roman" w:cs="Times New Roman"/>
          <w:color w:val="auto"/>
          <w:lang w:val="en-US" w:eastAsia="zh-CN"/>
        </w:rPr>
        <w:t>。</w:t>
      </w:r>
    </w:p>
    <w:p>
      <w:pPr>
        <w:spacing w:line="360" w:lineRule="auto"/>
        <w:ind w:firstLine="640" w:firstLineChars="200"/>
        <w:rPr>
          <w:bCs/>
          <w:color w:val="auto"/>
          <w:sz w:val="32"/>
          <w:szCs w:val="32"/>
        </w:rPr>
      </w:pPr>
    </w:p>
    <w:p>
      <w:pPr>
        <w:pStyle w:val="3"/>
        <w:spacing w:line="360" w:lineRule="auto"/>
        <w:rPr>
          <w:rFonts w:hint="eastAsia" w:ascii="仿宋_GB2312" w:eastAsia="仿宋_GB2312"/>
          <w:b w:val="0"/>
          <w:bCs w:val="0"/>
          <w:color w:val="auto"/>
        </w:rPr>
      </w:pPr>
      <w:bookmarkStart w:id="6" w:name="_Toc68703833"/>
      <w:r>
        <w:rPr>
          <w:rFonts w:hint="eastAsia" w:ascii="仿宋_GB2312" w:eastAsia="仿宋_GB2312"/>
          <w:b w:val="0"/>
          <w:bCs w:val="0"/>
          <w:color w:val="auto"/>
        </w:rPr>
        <w:t>（三）绩效评价工作过程。</w:t>
      </w:r>
      <w:bookmarkEnd w:id="6"/>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5日</w:t>
      </w:r>
      <w:r>
        <w:rPr>
          <w:rFonts w:hint="eastAsia"/>
          <w:color w:val="auto"/>
        </w:rPr>
        <w:t>，</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3"/>
        <w:spacing w:line="360" w:lineRule="auto"/>
        <w:rPr>
          <w:rFonts w:hint="eastAsia"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val="en-US" w:eastAsia="zh-CN"/>
        </w:rPr>
        <w:t>评价标准</w:t>
      </w:r>
      <w:r>
        <w:rPr>
          <w:rFonts w:hint="eastAsia"/>
          <w:color w:val="auto"/>
        </w:rPr>
        <w:t>（评价方法），坚持</w:t>
      </w:r>
      <w:r>
        <w:rPr>
          <w:rFonts w:hint="eastAsia"/>
          <w:color w:val="auto"/>
          <w:lang w:val="en-US" w:eastAsia="zh-CN"/>
        </w:rPr>
        <w:t>成本效益分析法</w:t>
      </w:r>
      <w:r>
        <w:rPr>
          <w:rFonts w:hint="eastAsia"/>
          <w:color w:val="auto"/>
        </w:rPr>
        <w:t>绩效评价标准）对本项目的立项、绩效目标、资金投入、资金管理、组织实施、产出数量、产出质量、产出时效、产出成本、项目效益进行了综合评价。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443"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39.97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99.97</w:t>
            </w:r>
          </w:p>
        </w:tc>
      </w:tr>
    </w:tbl>
    <w:p>
      <w:pPr>
        <w:pStyle w:val="3"/>
        <w:numPr>
          <w:ilvl w:val="0"/>
          <w:numId w:val="2"/>
        </w:numPr>
        <w:spacing w:line="360" w:lineRule="auto"/>
        <w:rPr>
          <w:rFonts w:hint="eastAsia" w:ascii="仿宋_GB2312" w:eastAsia="仿宋_GB2312"/>
          <w:b w:val="0"/>
          <w:bCs w:val="0"/>
          <w:color w:val="auto"/>
        </w:rPr>
      </w:pPr>
      <w:bookmarkStart w:id="9" w:name="_Toc68703836"/>
      <w:r>
        <w:rPr>
          <w:rFonts w:hint="eastAsia" w:ascii="仿宋_GB2312" w:eastAsia="仿宋_GB2312"/>
          <w:b w:val="0"/>
          <w:bCs w:val="0"/>
          <w:color w:val="auto"/>
        </w:rPr>
        <w:t>评价结论</w:t>
      </w:r>
      <w:bookmarkEnd w:id="9"/>
    </w:p>
    <w:p>
      <w:pPr>
        <w:spacing w:line="360" w:lineRule="auto"/>
        <w:ind w:firstLine="600" w:firstLineChars="200"/>
        <w:rPr>
          <w:rFonts w:hint="eastAsia" w:eastAsia="仿宋_GB2312"/>
          <w:color w:val="auto"/>
          <w:lang w:eastAsia="zh-CN"/>
        </w:rPr>
      </w:pPr>
      <w:r>
        <w:rPr>
          <w:rFonts w:hint="eastAsia"/>
          <w:color w:val="auto"/>
        </w:rPr>
        <w:t>本项目的项目决策、项目过程、项目产出、项目效益</w:t>
      </w:r>
      <w:r>
        <w:rPr>
          <w:rFonts w:hint="eastAsia"/>
          <w:color w:val="auto"/>
          <w:lang w:eastAsia="zh-CN"/>
        </w:rPr>
        <w:t>大部分</w:t>
      </w:r>
      <w:r>
        <w:rPr>
          <w:rFonts w:hint="eastAsia"/>
          <w:color w:val="auto"/>
        </w:rPr>
        <w:t>达到了预期要求，最终</w:t>
      </w:r>
      <w:r>
        <w:rPr>
          <w:rFonts w:hint="eastAsia"/>
          <w:color w:val="auto"/>
          <w:lang w:val="en-US" w:eastAsia="zh-CN"/>
        </w:rPr>
        <w:t>评</w:t>
      </w:r>
      <w:r>
        <w:rPr>
          <w:rFonts w:hint="eastAsia"/>
          <w:color w:val="auto"/>
        </w:rPr>
        <w:t>分为</w:t>
      </w:r>
      <w:r>
        <w:rPr>
          <w:rFonts w:hint="eastAsia"/>
          <w:color w:val="auto"/>
          <w:lang w:val="en-US" w:eastAsia="zh-CN"/>
        </w:rPr>
        <w:t>99.97</w:t>
      </w:r>
      <w:r>
        <w:rPr>
          <w:rFonts w:hint="eastAsia"/>
          <w:color w:val="auto"/>
        </w:rPr>
        <w:t>分，</w:t>
      </w:r>
      <w:r>
        <w:rPr>
          <w:rFonts w:hint="eastAsia"/>
          <w:color w:val="auto"/>
          <w:lang w:val="en-US" w:eastAsia="zh-CN"/>
        </w:rPr>
        <w:t>评价等级为“优”，成本指标未</w:t>
      </w:r>
      <w:r>
        <w:rPr>
          <w:rFonts w:hint="eastAsia"/>
          <w:color w:val="auto"/>
        </w:rPr>
        <w:t>达成年度指标</w:t>
      </w:r>
      <w:r>
        <w:rPr>
          <w:rFonts w:hint="eastAsia"/>
          <w:color w:val="auto"/>
          <w:lang w:eastAsia="zh-CN"/>
        </w:rPr>
        <w:t>的原因是厉行节约、合理规划，财政已收回剩余资金。</w:t>
      </w:r>
    </w:p>
    <w:p>
      <w:pPr>
        <w:pStyle w:val="2"/>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3"/>
        <w:spacing w:line="360" w:lineRule="auto"/>
        <w:rPr>
          <w:rFonts w:hint="eastAsia"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立项依据充分性</w:t>
      </w:r>
    </w:p>
    <w:p>
      <w:pPr>
        <w:spacing w:line="360" w:lineRule="auto"/>
        <w:ind w:firstLine="600" w:firstLineChars="200"/>
        <w:rPr>
          <w:color w:val="auto"/>
        </w:rPr>
      </w:pPr>
      <w:r>
        <w:rPr>
          <w:rFonts w:hint="eastAsia"/>
          <w:color w:val="auto"/>
        </w:rPr>
        <w:t>项目立项依据《</w:t>
      </w:r>
      <w:r>
        <w:rPr>
          <w:rFonts w:hint="eastAsia"/>
          <w:color w:val="auto"/>
          <w:lang w:val="en-US" w:eastAsia="zh-CN"/>
        </w:rPr>
        <w:t>关于下达2022年中央补助地方公共文化服务体系建设（重点项目）补助资金预算的通知</w:t>
      </w:r>
      <w:r>
        <w:rPr>
          <w:rFonts w:hint="eastAsia"/>
          <w:color w:val="auto"/>
        </w:rPr>
        <w:t>》</w:t>
      </w:r>
      <w:r>
        <w:rPr>
          <w:rFonts w:hint="eastAsia"/>
          <w:color w:val="auto"/>
          <w:lang w:eastAsia="zh-CN"/>
        </w:rPr>
        <w:t>（</w:t>
      </w:r>
      <w:r>
        <w:rPr>
          <w:rFonts w:hint="eastAsia"/>
          <w:color w:val="auto"/>
          <w:lang w:val="en-US" w:eastAsia="zh-CN"/>
        </w:rPr>
        <w:t>伊州财教【2022】3号</w:t>
      </w:r>
      <w:r>
        <w:rPr>
          <w:rFonts w:hint="eastAsia"/>
          <w:color w:val="auto"/>
          <w:lang w:eastAsia="zh-CN"/>
        </w:rPr>
        <w:t>）</w:t>
      </w:r>
      <w:r>
        <w:rPr>
          <w:rFonts w:hint="eastAsia"/>
          <w:color w:val="auto"/>
          <w:lang w:val="en-US" w:eastAsia="zh-CN"/>
        </w:rPr>
        <w:t>文件，</w:t>
      </w:r>
      <w:r>
        <w:rPr>
          <w:rFonts w:hint="eastAsia" w:ascii="Times New Roman" w:hAnsi="Times New Roman" w:cs="Times New Roman"/>
          <w:color w:val="auto"/>
          <w:lang w:val="en-US" w:eastAsia="zh-CN"/>
        </w:rPr>
        <w:t>项目立项符合行业发展规划和政策要求；项目立项与部门职责范围相符，属于部门履职所需；项目属于公共财政支持范围，符合中央、地方事权支出责任划分原则；项目</w:t>
      </w:r>
      <w:r>
        <w:rPr>
          <w:rFonts w:hint="eastAsia" w:cs="Times New Roman"/>
          <w:color w:val="auto"/>
          <w:lang w:val="en-US" w:eastAsia="zh-CN"/>
        </w:rPr>
        <w:t>未</w:t>
      </w:r>
      <w:r>
        <w:rPr>
          <w:rFonts w:hint="eastAsia" w:ascii="Times New Roman" w:hAnsi="Times New Roman" w:cs="Times New Roman"/>
          <w:color w:val="auto"/>
          <w:lang w:val="en-US" w:eastAsia="zh-CN"/>
        </w:rPr>
        <w:t>与相关部门同类项目或部门内部相关项目重复。</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立项程序规范性</w:t>
      </w:r>
    </w:p>
    <w:p>
      <w:pPr>
        <w:spacing w:line="360" w:lineRule="auto"/>
        <w:ind w:firstLine="600" w:firstLineChars="200"/>
        <w:jc w:val="lef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严格按照规定程序申请设立；</w:t>
      </w:r>
      <w:r>
        <w:rPr>
          <w:rFonts w:hint="default" w:ascii="Times New Roman" w:hAnsi="Times New Roman" w:cs="Times New Roman"/>
          <w:color w:val="auto"/>
          <w:lang w:val="en-US" w:eastAsia="zh-CN"/>
        </w:rPr>
        <w:t xml:space="preserve"> 审批文件、材料符合相关要求</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事前已经过必要的可行性研究、专家论证、风险评估、绩效评估、集体决策。</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绩效目标合理性</w:t>
      </w:r>
    </w:p>
    <w:p>
      <w:pPr>
        <w:spacing w:line="360" w:lineRule="auto"/>
        <w:ind w:firstLine="600" w:firstLineChars="200"/>
        <w:rPr>
          <w:color w:val="auto"/>
        </w:rPr>
      </w:pPr>
      <w:r>
        <w:rPr>
          <w:rFonts w:hint="eastAsia"/>
          <w:color w:val="auto"/>
          <w:lang w:val="en-US" w:eastAsia="zh-CN"/>
        </w:rPr>
        <w:t>2022年中央补助地方公共文化服务体系建设（重点项目）补助资金</w:t>
      </w:r>
      <w:r>
        <w:rPr>
          <w:rFonts w:hint="eastAsia"/>
          <w:color w:val="auto"/>
        </w:rPr>
        <w:t>项目设立了项目绩效目标，与</w:t>
      </w:r>
      <w:r>
        <w:rPr>
          <w:rFonts w:hint="eastAsia"/>
          <w:color w:val="auto"/>
          <w:lang w:val="en-US" w:eastAsia="zh-CN"/>
        </w:rPr>
        <w:t>维护中央广播电视节目正常运转</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绩效指标明确性</w:t>
      </w:r>
    </w:p>
    <w:p>
      <w:pPr>
        <w:spacing w:line="360" w:lineRule="auto"/>
        <w:ind w:firstLine="600" w:firstLineChars="200"/>
        <w:rPr>
          <w:color w:val="auto"/>
        </w:rPr>
      </w:pPr>
      <w:bookmarkStart w:id="12" w:name="_Hlk68699917"/>
      <w:r>
        <w:rPr>
          <w:rFonts w:hint="eastAsia"/>
          <w:color w:val="auto"/>
          <w:lang w:val="en-US" w:eastAsia="zh-CN"/>
        </w:rPr>
        <w:t>2022年中央补助地方公共文化服务体系建设（重点项目）补助资金</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8</w:t>
      </w:r>
      <w:r>
        <w:rPr>
          <w:rFonts w:hint="eastAsia"/>
          <w:color w:val="auto"/>
        </w:rPr>
        <w:t>条，三级指标共</w:t>
      </w:r>
      <w:r>
        <w:rPr>
          <w:rFonts w:hint="eastAsia"/>
          <w:color w:val="auto"/>
          <w:lang w:val="en-US" w:eastAsia="zh-CN"/>
        </w:rPr>
        <w:t>15</w:t>
      </w:r>
      <w:r>
        <w:rPr>
          <w:rFonts w:hint="eastAsia"/>
          <w:color w:val="auto"/>
        </w:rPr>
        <w:t>条，其中量化指标条数共</w:t>
      </w:r>
      <w:r>
        <w:rPr>
          <w:rFonts w:hint="eastAsia"/>
          <w:color w:val="auto"/>
          <w:lang w:val="en-US" w:eastAsia="zh-CN"/>
        </w:rPr>
        <w:t>13</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预算编制科学性</w:t>
      </w:r>
    </w:p>
    <w:p>
      <w:pPr>
        <w:spacing w:line="360" w:lineRule="auto"/>
        <w:ind w:firstLine="600" w:firstLineChars="200"/>
        <w:jc w:val="lef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项目</w:t>
      </w:r>
      <w:r>
        <w:rPr>
          <w:rFonts w:hint="default" w:ascii="Times New Roman" w:hAnsi="Times New Roman" w:cs="Times New Roman"/>
          <w:color w:val="auto"/>
          <w:lang w:val="en-US" w:eastAsia="zh-CN"/>
        </w:rPr>
        <w:t>预算编制是经过科学论</w:t>
      </w:r>
      <w:r>
        <w:rPr>
          <w:rFonts w:hint="eastAsia" w:ascii="Times New Roman" w:hAnsi="Times New Roman" w:cs="Times New Roman"/>
          <w:color w:val="auto"/>
          <w:lang w:val="en-US" w:eastAsia="zh-CN"/>
        </w:rPr>
        <w:t>证；</w:t>
      </w:r>
      <w:r>
        <w:rPr>
          <w:rFonts w:hint="default" w:ascii="Times New Roman" w:hAnsi="Times New Roman" w:cs="Times New Roman"/>
          <w:color w:val="auto"/>
          <w:lang w:val="en-US" w:eastAsia="zh-CN"/>
        </w:rPr>
        <w:t>预算内容与项目内容匹配</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预算额度测算依据充分，按照标准编制</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预算确定的项目投资额与工作任务相匹配。</w:t>
      </w:r>
    </w:p>
    <w:p>
      <w:pPr>
        <w:spacing w:line="360" w:lineRule="auto"/>
        <w:ind w:firstLine="600" w:firstLineChars="200"/>
        <w:jc w:val="left"/>
        <w:rPr>
          <w:rFonts w:hint="eastAsia"/>
          <w:color w:val="auto"/>
        </w:rPr>
      </w:pPr>
      <w:r>
        <w:rPr>
          <w:rFonts w:hint="eastAsia"/>
          <w:color w:val="auto"/>
        </w:rPr>
        <w:t>6</w:t>
      </w:r>
      <w:r>
        <w:rPr>
          <w:rFonts w:hint="eastAsia"/>
          <w:color w:val="auto"/>
          <w:lang w:val="en-US" w:eastAsia="zh-CN"/>
        </w:rPr>
        <w:t>.</w:t>
      </w:r>
      <w:r>
        <w:rPr>
          <w:rFonts w:hint="eastAsia"/>
          <w:color w:val="auto"/>
        </w:rPr>
        <w:t>资金分配合理性</w:t>
      </w:r>
    </w:p>
    <w:p>
      <w:pPr>
        <w:spacing w:line="360" w:lineRule="auto"/>
        <w:ind w:firstLine="600" w:firstLineChars="200"/>
        <w:rPr>
          <w:color w:val="auto"/>
        </w:rPr>
      </w:pPr>
      <w:r>
        <w:rPr>
          <w:rFonts w:hint="eastAsia"/>
          <w:color w:val="auto"/>
        </w:rPr>
        <w:t>预算资金分配依据充分</w:t>
      </w:r>
      <w:r>
        <w:rPr>
          <w:rFonts w:hint="eastAsia"/>
          <w:color w:val="auto"/>
          <w:lang w:eastAsia="zh-CN"/>
        </w:rPr>
        <w:t>，</w:t>
      </w:r>
      <w:r>
        <w:rPr>
          <w:rFonts w:hint="eastAsia"/>
          <w:color w:val="auto"/>
        </w:rPr>
        <w:t>资金分配额度合理，与项目单位实际</w:t>
      </w:r>
      <w:r>
        <w:rPr>
          <w:rFonts w:hint="eastAsia"/>
          <w:color w:val="auto"/>
          <w:lang w:val="en-US" w:eastAsia="zh-CN"/>
        </w:rPr>
        <w:t>较</w:t>
      </w:r>
      <w:r>
        <w:rPr>
          <w:rFonts w:hint="eastAsia"/>
          <w:color w:val="auto"/>
        </w:rPr>
        <w:t>相适应。</w:t>
      </w:r>
    </w:p>
    <w:p>
      <w:pPr>
        <w:pStyle w:val="3"/>
        <w:spacing w:line="360" w:lineRule="auto"/>
        <w:rPr>
          <w:rFonts w:hint="eastAsia"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43.41</w:t>
      </w:r>
      <w:r>
        <w:rPr>
          <w:rFonts w:hint="eastAsia"/>
          <w:color w:val="auto"/>
        </w:rPr>
        <w:t>万元，实际到位资金</w:t>
      </w:r>
      <w:r>
        <w:rPr>
          <w:rFonts w:hint="eastAsia"/>
          <w:color w:val="auto"/>
          <w:lang w:val="en-US" w:eastAsia="zh-CN"/>
        </w:rPr>
        <w:t>43.41</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43.41</w:t>
      </w:r>
      <w:r>
        <w:rPr>
          <w:rFonts w:hint="eastAsia"/>
          <w:color w:val="auto"/>
        </w:rPr>
        <w:t>万元，全年预算数</w:t>
      </w:r>
      <w:r>
        <w:rPr>
          <w:rFonts w:hint="eastAsia"/>
          <w:color w:val="auto"/>
          <w:lang w:val="en-US" w:eastAsia="zh-CN"/>
        </w:rPr>
        <w:t>43.41</w:t>
      </w:r>
      <w:r>
        <w:rPr>
          <w:rFonts w:hint="eastAsia"/>
          <w:color w:val="auto"/>
        </w:rPr>
        <w:t>万元，全年执行数</w:t>
      </w:r>
      <w:r>
        <w:rPr>
          <w:rFonts w:hint="eastAsia"/>
          <w:color w:val="auto"/>
          <w:lang w:val="en-US" w:eastAsia="zh-CN"/>
        </w:rPr>
        <w:t>43.16</w:t>
      </w:r>
      <w:r>
        <w:rPr>
          <w:rFonts w:hint="eastAsia"/>
          <w:color w:val="auto"/>
        </w:rPr>
        <w:t>万元，预算执行率为</w:t>
      </w:r>
      <w:r>
        <w:rPr>
          <w:rFonts w:hint="eastAsia"/>
          <w:color w:val="auto"/>
          <w:lang w:val="en-US" w:eastAsia="zh-CN"/>
        </w:rPr>
        <w:t>99.42</w:t>
      </w:r>
      <w:r>
        <w:rPr>
          <w:rFonts w:hint="eastAsia"/>
          <w:color w:val="auto"/>
        </w:rPr>
        <w:t>%</w:t>
      </w:r>
      <w:r>
        <w:rPr>
          <w:rFonts w:hint="eastAsia"/>
          <w:color w:val="auto"/>
          <w:lang w:eastAsia="zh-CN"/>
        </w:rPr>
        <w:t>。</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资金使用合规性</w:t>
      </w:r>
    </w:p>
    <w:p>
      <w:pPr>
        <w:spacing w:line="360" w:lineRule="auto"/>
        <w:ind w:firstLine="600" w:firstLineChars="200"/>
        <w:rPr>
          <w:color w:val="auto"/>
        </w:rPr>
      </w:pPr>
      <w:r>
        <w:rPr>
          <w:rFonts w:hint="eastAsia" w:cs="Times New Roman"/>
          <w:color w:val="auto"/>
          <w:lang w:val="en-US" w:eastAsia="zh-CN"/>
        </w:rPr>
        <w:t>本项目</w:t>
      </w:r>
      <w:r>
        <w:rPr>
          <w:rFonts w:hint="default" w:ascii="Times New Roman" w:hAnsi="Times New Roman" w:cs="Times New Roman"/>
          <w:color w:val="auto"/>
          <w:lang w:val="en-US" w:eastAsia="zh-CN"/>
        </w:rPr>
        <w:t>符合国家财经法规和财务管理制度以及有关专项资金管理办法的规定</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资金的拨付有完整的审批程序和手续</w:t>
      </w:r>
      <w:r>
        <w:rPr>
          <w:rFonts w:hint="eastAsia" w:ascii="Times New Roman" w:hAnsi="Times New Roman" w:cs="Times New Roman"/>
          <w:color w:val="auto"/>
          <w:lang w:val="en-US" w:eastAsia="zh-CN"/>
        </w:rPr>
        <w:t>且</w:t>
      </w:r>
      <w:r>
        <w:rPr>
          <w:rFonts w:hint="default" w:ascii="Times New Roman" w:hAnsi="Times New Roman" w:cs="Times New Roman"/>
          <w:color w:val="auto"/>
          <w:lang w:val="en-US" w:eastAsia="zh-CN"/>
        </w:rPr>
        <w:t>符合项目预算批复或合同规定的用途</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不存在截留、挤占、挪用、虚列支出等情况。</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管理制度健全性</w:t>
      </w:r>
    </w:p>
    <w:p>
      <w:pPr>
        <w:spacing w:line="360" w:lineRule="auto"/>
        <w:ind w:firstLine="600" w:firstLineChars="200"/>
        <w:rPr>
          <w:color w:val="auto"/>
        </w:rPr>
      </w:pPr>
      <w:r>
        <w:rPr>
          <w:rFonts w:hint="eastAsia" w:cs="Times New Roman"/>
          <w:color w:val="auto"/>
          <w:lang w:val="en-US" w:eastAsia="zh-CN"/>
        </w:rPr>
        <w:t>本项目</w:t>
      </w:r>
      <w:r>
        <w:rPr>
          <w:rFonts w:hint="default" w:ascii="Times New Roman" w:hAnsi="Times New Roman" w:cs="Times New Roman"/>
          <w:color w:val="auto"/>
          <w:lang w:val="en-US" w:eastAsia="zh-CN"/>
        </w:rPr>
        <w:t>已制定或具有相应的财务和业务管理制度</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财务和业务管理制度合法、合规、完整。</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制度执行有效性</w:t>
      </w:r>
    </w:p>
    <w:p>
      <w:pPr>
        <w:spacing w:line="360" w:lineRule="auto"/>
        <w:ind w:firstLine="600" w:firstLineChars="200"/>
        <w:rPr>
          <w:rFonts w:hint="default" w:ascii="Times New Roman" w:hAnsi="Times New Roman" w:cs="Times New Roman"/>
          <w:color w:val="auto"/>
          <w:lang w:val="en-US" w:eastAsia="zh-CN"/>
        </w:rPr>
      </w:pPr>
      <w:bookmarkStart w:id="14" w:name="_Toc68703840"/>
      <w:r>
        <w:rPr>
          <w:rFonts w:hint="eastAsia" w:cs="Times New Roman"/>
          <w:color w:val="auto"/>
          <w:lang w:val="en-US" w:eastAsia="zh-CN"/>
        </w:rPr>
        <w:t>本项目</w:t>
      </w:r>
      <w:r>
        <w:rPr>
          <w:rFonts w:hint="eastAsia" w:ascii="Times New Roman" w:hAnsi="Times New Roman" w:cs="Times New Roman"/>
          <w:color w:val="auto"/>
          <w:lang w:val="en-US" w:eastAsia="zh-CN"/>
        </w:rPr>
        <w:t>严格</w:t>
      </w:r>
      <w:r>
        <w:rPr>
          <w:rFonts w:hint="default" w:ascii="Times New Roman" w:hAnsi="Times New Roman" w:cs="Times New Roman"/>
          <w:color w:val="auto"/>
          <w:lang w:val="en-US" w:eastAsia="zh-CN"/>
        </w:rPr>
        <w:t>遵守相关法律法规和相关管理规定</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项目调整及支出调整手续完备</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项目合同书、验收报告、技术鉴定等资料齐全并及时</w:t>
      </w:r>
      <w:r>
        <w:rPr>
          <w:rFonts w:hint="eastAsia" w:ascii="Times New Roman" w:hAnsi="Times New Roman" w:cs="Times New Roman"/>
          <w:color w:val="auto"/>
          <w:lang w:val="en-US" w:eastAsia="zh-CN"/>
        </w:rPr>
        <w:t>归</w:t>
      </w:r>
      <w:r>
        <w:rPr>
          <w:rFonts w:hint="default" w:ascii="Times New Roman" w:hAnsi="Times New Roman" w:cs="Times New Roman"/>
          <w:color w:val="auto"/>
          <w:lang w:val="en-US" w:eastAsia="zh-CN"/>
        </w:rPr>
        <w:t>档</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项目实施的人员条件、场地设备、信息支撑等</w:t>
      </w:r>
      <w:r>
        <w:rPr>
          <w:rFonts w:hint="eastAsia" w:ascii="Times New Roman" w:hAnsi="Times New Roman" w:cs="Times New Roman"/>
          <w:color w:val="auto"/>
          <w:lang w:val="en-US" w:eastAsia="zh-CN"/>
        </w:rPr>
        <w:t>已</w:t>
      </w:r>
      <w:r>
        <w:rPr>
          <w:rFonts w:hint="default" w:ascii="Times New Roman" w:hAnsi="Times New Roman" w:cs="Times New Roman"/>
          <w:color w:val="auto"/>
          <w:lang w:val="en-US" w:eastAsia="zh-CN"/>
        </w:rPr>
        <w:t>落实到位。</w:t>
      </w:r>
    </w:p>
    <w:p>
      <w:pPr>
        <w:spacing w:line="360" w:lineRule="auto"/>
        <w:ind w:firstLine="600" w:firstLineChars="200"/>
        <w:rPr>
          <w:rFonts w:hint="eastAsia" w:ascii="仿宋_GB2312" w:eastAsia="仿宋_GB2312"/>
          <w:b w:val="0"/>
          <w:bCs w:val="0"/>
          <w:color w:val="auto"/>
        </w:rPr>
      </w:pPr>
      <w:r>
        <w:rPr>
          <w:rFonts w:hint="eastAsia" w:ascii="仿宋_GB2312" w:eastAsia="仿宋_GB2312"/>
          <w:b w:val="0"/>
          <w:bCs w:val="0"/>
          <w:color w:val="auto"/>
        </w:rPr>
        <w:t>（三）项目产出情况。</w:t>
      </w:r>
      <w:bookmarkEnd w:id="14"/>
    </w:p>
    <w:p>
      <w:pPr>
        <w:spacing w:line="360" w:lineRule="auto"/>
        <w:ind w:firstLine="600" w:firstLineChars="200"/>
        <w:rPr>
          <w:rFonts w:hint="eastAsia" w:eastAsia="仿宋_GB2312"/>
          <w:color w:val="auto"/>
          <w:lang w:eastAsia="zh-CN"/>
        </w:rPr>
      </w:pPr>
      <w:r>
        <w:rPr>
          <w:rFonts w:hint="eastAsia"/>
          <w:color w:val="auto"/>
        </w:rPr>
        <w:t>1</w:t>
      </w:r>
      <w:r>
        <w:rPr>
          <w:rFonts w:hint="eastAsia"/>
          <w:color w:val="auto"/>
          <w:lang w:val="en-US" w:eastAsia="zh-CN"/>
        </w:rPr>
        <w:t>.</w:t>
      </w:r>
      <w:r>
        <w:rPr>
          <w:rFonts w:hint="eastAsia"/>
          <w:color w:val="auto"/>
        </w:rPr>
        <w:t>数量指标：指标1：发射机维护数量（部），指标值：=0，实际完成值</w:t>
      </w:r>
      <w:r>
        <w:rPr>
          <w:rFonts w:hint="eastAsia"/>
          <w:color w:val="auto"/>
          <w:lang w:val="en-US" w:eastAsia="zh-CN"/>
        </w:rPr>
        <w:t>0</w:t>
      </w:r>
      <w:r>
        <w:rPr>
          <w:rFonts w:hint="eastAsia"/>
          <w:color w:val="auto"/>
        </w:rPr>
        <w:t>，指标完成率</w:t>
      </w:r>
      <w:r>
        <w:rPr>
          <w:rFonts w:hint="eastAsia"/>
          <w:color w:val="auto"/>
          <w:lang w:val="en-US" w:eastAsia="zh-CN"/>
        </w:rPr>
        <w:t>100</w:t>
      </w:r>
      <w:r>
        <w:rPr>
          <w:rFonts w:hint="eastAsia"/>
          <w:color w:val="auto"/>
        </w:rPr>
        <w:t>%；指标2：调频发射机数量（数字广播），指标值：&gt;=1部，实际完成值</w:t>
      </w:r>
      <w:r>
        <w:rPr>
          <w:rFonts w:hint="eastAsia"/>
          <w:color w:val="auto"/>
          <w:lang w:val="en-US" w:eastAsia="zh-CN"/>
        </w:rPr>
        <w:t>1部</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：数字电视数量，指标值：&gt;=2部，实际完成值</w:t>
      </w:r>
      <w:r>
        <w:rPr>
          <w:rFonts w:hint="eastAsia"/>
          <w:color w:val="auto"/>
          <w:lang w:val="en-US" w:eastAsia="zh-CN"/>
        </w:rPr>
        <w:t>2部</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color w:val="auto"/>
        </w:rPr>
        <w:t>2</w:t>
      </w:r>
      <w:r>
        <w:rPr>
          <w:rFonts w:hint="eastAsia"/>
          <w:color w:val="auto"/>
          <w:lang w:val="en-US" w:eastAsia="zh-CN"/>
        </w:rPr>
        <w:t>.</w:t>
      </w:r>
      <w:r>
        <w:rPr>
          <w:rFonts w:hint="eastAsia"/>
          <w:color w:val="auto"/>
        </w:rPr>
        <w:t>质量指标：指标1：模拟发射机满功率满时间满调制度播出率（%），指标值：&gt;=95%，实际完成值</w:t>
      </w:r>
      <w:r>
        <w:rPr>
          <w:rFonts w:hint="eastAsia"/>
          <w:color w:val="auto"/>
          <w:lang w:val="en-US" w:eastAsia="zh-CN"/>
        </w:rPr>
        <w:t>100%</w:t>
      </w:r>
      <w:r>
        <w:rPr>
          <w:rFonts w:hint="eastAsia"/>
          <w:color w:val="auto"/>
        </w:rPr>
        <w:t>，指标完成率</w:t>
      </w:r>
      <w:r>
        <w:rPr>
          <w:rFonts w:hint="eastAsia"/>
          <w:color w:val="auto"/>
          <w:lang w:val="en-US" w:eastAsia="zh-CN"/>
        </w:rPr>
        <w:t>105.26</w:t>
      </w:r>
      <w:r>
        <w:rPr>
          <w:rFonts w:hint="eastAsia"/>
          <w:color w:val="auto"/>
        </w:rPr>
        <w:t>%。</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时效指标：指标1：中央模拟广播电视节目播出任务完成率（%），指标值：=100%，实际完成值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：系统运行维护响应时间，指标值：&lt;=72小时，实际完成值</w:t>
      </w:r>
      <w:r>
        <w:rPr>
          <w:rFonts w:hint="eastAsia"/>
          <w:color w:val="auto"/>
          <w:lang w:val="en-US" w:eastAsia="zh-CN"/>
        </w:rPr>
        <w:t>24小时</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：设备故障修护处理时间，指标值：&lt;=1天，实际完成值</w:t>
      </w:r>
      <w:r>
        <w:rPr>
          <w:rFonts w:hint="eastAsia"/>
          <w:color w:val="auto"/>
          <w:lang w:val="en-US" w:eastAsia="zh-CN"/>
        </w:rPr>
        <w:t>1天</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指标1：调频发射机成本，指标值：&lt;=5.71万元，实际完成值</w:t>
      </w:r>
      <w:r>
        <w:rPr>
          <w:rFonts w:hint="eastAsia"/>
          <w:color w:val="auto"/>
          <w:lang w:val="en-US" w:eastAsia="zh-CN"/>
        </w:rPr>
        <w:t>5.71万元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：数字广播成本，指标值：&lt;=6.50万元，实际完成值6.50万元，指标完成率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：数字电视成本，指标值：&lt;=31.20万元，实际完成值3</w:t>
      </w:r>
      <w:r>
        <w:rPr>
          <w:rFonts w:hint="eastAsia"/>
          <w:color w:val="auto"/>
          <w:lang w:val="en-US" w:eastAsia="zh-CN"/>
        </w:rPr>
        <w:t>0.95</w:t>
      </w:r>
      <w:r>
        <w:rPr>
          <w:rFonts w:hint="eastAsia"/>
          <w:color w:val="auto"/>
        </w:rPr>
        <w:t>万元，指标完成率</w:t>
      </w:r>
      <w:r>
        <w:rPr>
          <w:rFonts w:hint="eastAsia"/>
          <w:color w:val="auto"/>
          <w:lang w:val="en-US" w:eastAsia="zh-CN"/>
        </w:rPr>
        <w:t>99.20</w:t>
      </w:r>
      <w:r>
        <w:rPr>
          <w:rFonts w:hint="eastAsia"/>
          <w:color w:val="auto"/>
        </w:rPr>
        <w:t>%。</w:t>
      </w:r>
    </w:p>
    <w:p>
      <w:pPr>
        <w:pStyle w:val="3"/>
        <w:spacing w:line="360" w:lineRule="auto"/>
        <w:rPr>
          <w:rFonts w:hint="eastAsia"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color w:val="auto"/>
        </w:rPr>
      </w:pPr>
      <w:r>
        <w:rPr>
          <w:color w:val="auto"/>
        </w:rPr>
        <w:t>1</w:t>
      </w:r>
      <w:r>
        <w:rPr>
          <w:rFonts w:hint="eastAsia"/>
          <w:color w:val="auto"/>
          <w:lang w:val="en-US" w:eastAsia="zh-CN"/>
        </w:rPr>
        <w:t>.</w:t>
      </w:r>
      <w:r>
        <w:rPr>
          <w:rFonts w:hint="eastAsia"/>
          <w:color w:val="auto"/>
        </w:rPr>
        <w:t>社会效益指标：指标1：中央无线电视节目人口覆盖率，指标值：&gt;=96%，实际完成值</w:t>
      </w:r>
      <w:r>
        <w:rPr>
          <w:rFonts w:hint="eastAsia"/>
          <w:color w:val="auto"/>
          <w:lang w:val="en-US" w:eastAsia="zh-CN"/>
        </w:rPr>
        <w:t>98%</w:t>
      </w:r>
      <w:r>
        <w:rPr>
          <w:rFonts w:hint="eastAsia"/>
          <w:color w:val="auto"/>
        </w:rPr>
        <w:t>，指标完成率</w:t>
      </w:r>
      <w:r>
        <w:rPr>
          <w:rFonts w:hint="eastAsia"/>
          <w:color w:val="auto"/>
          <w:lang w:val="en-US" w:eastAsia="zh-CN"/>
        </w:rPr>
        <w:t>102.08</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：中央无线广播节目人口覆盖率，指标值：&gt;=97%，实际完成值</w:t>
      </w:r>
      <w:r>
        <w:rPr>
          <w:rFonts w:hint="eastAsia"/>
          <w:color w:val="auto"/>
          <w:lang w:val="en-US" w:eastAsia="zh-CN"/>
        </w:rPr>
        <w:t>98%</w:t>
      </w:r>
      <w:r>
        <w:rPr>
          <w:rFonts w:hint="eastAsia"/>
          <w:color w:val="auto"/>
        </w:rPr>
        <w:t>，指标完成率</w:t>
      </w:r>
      <w:r>
        <w:rPr>
          <w:rFonts w:hint="eastAsia"/>
          <w:color w:val="auto"/>
          <w:lang w:val="en-US" w:eastAsia="zh-CN"/>
        </w:rPr>
        <w:t>101.03</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lang w:val="en-US" w:eastAsia="zh-CN"/>
        </w:rPr>
        <w:t>2.</w:t>
      </w:r>
      <w:r>
        <w:rPr>
          <w:rFonts w:hint="eastAsia"/>
          <w:color w:val="auto"/>
        </w:rPr>
        <w:t>生态效益指标：指标1：环境友好无污染，指标值：良好，实际完成值</w:t>
      </w:r>
      <w:r>
        <w:rPr>
          <w:rFonts w:hint="eastAsia"/>
          <w:color w:val="auto"/>
          <w:lang w:val="en-US" w:eastAsia="zh-CN"/>
        </w:rPr>
        <w:t>良好</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lang w:val="en-US" w:eastAsia="zh-CN"/>
        </w:rPr>
        <w:t>3.</w:t>
      </w:r>
      <w:r>
        <w:rPr>
          <w:rFonts w:hint="eastAsia"/>
          <w:color w:val="auto"/>
        </w:rPr>
        <w:t>可持续影响指标：指标1：无线覆盖运行维护持续发挥作用，指标值：长期，实际完成值</w:t>
      </w:r>
      <w:r>
        <w:rPr>
          <w:rFonts w:hint="eastAsia"/>
          <w:color w:val="auto"/>
          <w:lang w:val="en-US" w:eastAsia="zh-CN"/>
        </w:rPr>
        <w:t>长期</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lang w:val="en-US" w:eastAsia="zh-CN"/>
        </w:rPr>
        <w:t>4.</w:t>
      </w:r>
      <w:r>
        <w:rPr>
          <w:rFonts w:hint="eastAsia"/>
          <w:color w:val="auto"/>
        </w:rPr>
        <w:t>满意度指标：指标1：群众对免费收听收看广播电视节目的满意率，指标值：&gt;=95%，实际完成值</w:t>
      </w:r>
      <w:r>
        <w:rPr>
          <w:rFonts w:hint="eastAsia"/>
          <w:color w:val="auto"/>
          <w:lang w:val="en-US" w:eastAsia="zh-CN"/>
        </w:rPr>
        <w:t>95%</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2"/>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3"/>
        <w:spacing w:line="360" w:lineRule="auto"/>
        <w:rPr>
          <w:rFonts w:hint="eastAsia"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spacing w:line="360" w:lineRule="auto"/>
        <w:ind w:firstLine="600" w:firstLineChars="200"/>
        <w:rPr>
          <w:rFonts w:hint="default" w:ascii="Times New Roman" w:hAnsi="Times New Roman" w:cs="Times New Roman"/>
          <w:color w:val="auto"/>
          <w:lang w:val="en-US" w:eastAsia="zh-CN"/>
        </w:rPr>
      </w:pPr>
      <w:bookmarkStart w:id="18" w:name="_Toc68703844"/>
      <w:r>
        <w:rPr>
          <w:rFonts w:hint="eastAsia" w:cs="Times New Roman"/>
          <w:color w:val="auto"/>
          <w:lang w:val="en-US" w:eastAsia="zh-CN"/>
        </w:rPr>
        <w:t>在霍城县融媒体中心党组的领导下</w:t>
      </w:r>
      <w:r>
        <w:rPr>
          <w:rFonts w:hint="default" w:ascii="Times New Roman" w:hAnsi="Times New Roman" w:cs="Times New Roman"/>
          <w:color w:val="auto"/>
          <w:lang w:val="en-US" w:eastAsia="zh-CN"/>
        </w:rPr>
        <w:t>，</w:t>
      </w:r>
      <w:r>
        <w:rPr>
          <w:rFonts w:hint="eastAsia" w:cs="Times New Roman"/>
          <w:color w:val="auto"/>
          <w:lang w:val="en-US" w:eastAsia="zh-CN"/>
        </w:rPr>
        <w:t>由网络技术中心牵头，各中心主任负责，细化责任，</w:t>
      </w:r>
      <w:r>
        <w:rPr>
          <w:rFonts w:hint="default" w:ascii="Times New Roman" w:hAnsi="Times New Roman" w:cs="Times New Roman"/>
          <w:color w:val="auto"/>
          <w:lang w:val="en-US" w:eastAsia="zh-CN"/>
        </w:rPr>
        <w:t>围绕实际提前谋划，做好统筹，</w:t>
      </w:r>
      <w:r>
        <w:rPr>
          <w:rFonts w:hint="eastAsia" w:cs="Times New Roman"/>
          <w:color w:val="auto"/>
          <w:lang w:val="en-US" w:eastAsia="zh-CN"/>
        </w:rPr>
        <w:t>专业</w:t>
      </w:r>
      <w:r>
        <w:rPr>
          <w:rFonts w:hint="default" w:ascii="Times New Roman" w:hAnsi="Times New Roman" w:cs="Times New Roman"/>
          <w:color w:val="auto"/>
          <w:lang w:val="en-US" w:eastAsia="zh-CN"/>
        </w:rPr>
        <w:t>人员发挥技术优势，创新管理，确保经费节省，充分</w:t>
      </w:r>
      <w:r>
        <w:rPr>
          <w:rFonts w:hint="default"/>
          <w:color w:val="auto"/>
          <w:lang w:val="en-US" w:eastAsia="zh-CN"/>
        </w:rPr>
        <w:t>发挥</w:t>
      </w:r>
      <w:r>
        <w:rPr>
          <w:rFonts w:hint="default" w:ascii="Times New Roman" w:hAnsi="Times New Roman" w:cs="Times New Roman"/>
          <w:color w:val="auto"/>
          <w:lang w:val="en-US" w:eastAsia="zh-CN"/>
        </w:rPr>
        <w:t>作用。</w:t>
      </w:r>
    </w:p>
    <w:p>
      <w:pPr>
        <w:pStyle w:val="3"/>
        <w:spacing w:line="360" w:lineRule="auto"/>
        <w:rPr>
          <w:rFonts w:hint="eastAsia" w:ascii="仿宋_GB2312" w:eastAsia="仿宋_GB2312"/>
          <w:b w:val="0"/>
          <w:bCs w:val="0"/>
          <w:color w:val="auto"/>
        </w:rPr>
      </w:pPr>
      <w:r>
        <w:rPr>
          <w:rFonts w:hint="eastAsia" w:ascii="仿宋_GB2312" w:eastAsia="仿宋_GB2312"/>
          <w:b w:val="0"/>
          <w:bCs w:val="0"/>
          <w:color w:val="auto"/>
        </w:rPr>
        <w:t>（二）存在的问题及原因分析</w:t>
      </w:r>
      <w:bookmarkEnd w:id="18"/>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highlight w:val="none"/>
          <w:lang w:val="en-US" w:eastAsia="zh-CN"/>
        </w:rPr>
      </w:pPr>
      <w:bookmarkStart w:id="19" w:name="_Toc68703845"/>
      <w:r>
        <w:rPr>
          <w:rFonts w:hint="eastAsia" w:ascii="Times New Roman" w:hAnsi="Times New Roman" w:cs="Times New Roman"/>
          <w:color w:val="auto"/>
          <w:highlight w:val="none"/>
          <w:lang w:val="en-US" w:eastAsia="zh-CN"/>
        </w:rPr>
        <w:t>存在的问题</w:t>
      </w:r>
      <w:r>
        <w:rPr>
          <w:rFonts w:hint="eastAsia" w:cs="Times New Roman"/>
          <w:color w:val="auto"/>
          <w:highlight w:val="none"/>
          <w:lang w:val="en-US" w:eastAsia="zh-CN"/>
        </w:rPr>
        <w:t>：社会</w:t>
      </w:r>
      <w:r>
        <w:rPr>
          <w:rFonts w:hint="default" w:ascii="Times New Roman" w:hAnsi="Times New Roman" w:cs="Times New Roman"/>
          <w:color w:val="auto"/>
          <w:highlight w:val="none"/>
          <w:lang w:val="en-US" w:eastAsia="zh-CN"/>
        </w:rPr>
        <w:t>效益和生态效益发挥不明显</w:t>
      </w:r>
      <w:r>
        <w:rPr>
          <w:rFonts w:hint="eastAsia" w:cs="Times New Roman"/>
          <w:color w:val="auto"/>
          <w:highlight w:val="none"/>
          <w:lang w:val="en-US" w:eastAsia="zh-CN"/>
        </w:rPr>
        <w:t>，导致受众群体满意率有所下滑</w:t>
      </w:r>
      <w:r>
        <w:rPr>
          <w:rFonts w:hint="default" w:ascii="Times New Roman" w:hAnsi="Times New Roman" w:cs="Times New Roman"/>
          <w:color w:val="auto"/>
          <w:highlight w:val="none"/>
          <w:lang w:val="en-US" w:eastAsia="zh-CN"/>
        </w:rPr>
        <w:t>。</w:t>
      </w:r>
    </w:p>
    <w:p>
      <w:pPr>
        <w:pStyle w:val="3"/>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color w:val="auto"/>
          <w:kern w:val="2"/>
          <w:sz w:val="30"/>
          <w:szCs w:val="24"/>
          <w:highlight w:val="none"/>
          <w:lang w:val="en-US" w:eastAsia="zh-CN" w:bidi="ar-SA"/>
        </w:rPr>
      </w:pPr>
      <w:r>
        <w:rPr>
          <w:rFonts w:hint="eastAsia" w:ascii="Times New Roman" w:hAnsi="Times New Roman" w:eastAsia="仿宋_GB2312" w:cs="Times New Roman"/>
          <w:b w:val="0"/>
          <w:bCs w:val="0"/>
          <w:color w:val="auto"/>
          <w:kern w:val="2"/>
          <w:sz w:val="30"/>
          <w:szCs w:val="24"/>
          <w:highlight w:val="none"/>
          <w:lang w:val="en-US" w:eastAsia="zh-CN" w:bidi="ar-SA"/>
        </w:rPr>
        <w:t>原因分析：</w:t>
      </w:r>
      <w:r>
        <w:rPr>
          <w:rFonts w:hint="default" w:ascii="Times New Roman" w:hAnsi="Times New Roman" w:eastAsia="仿宋_GB2312" w:cs="Times New Roman"/>
          <w:b w:val="0"/>
          <w:bCs w:val="0"/>
          <w:color w:val="auto"/>
          <w:kern w:val="2"/>
          <w:sz w:val="30"/>
          <w:szCs w:val="24"/>
          <w:highlight w:val="none"/>
          <w:lang w:val="en-US" w:eastAsia="zh-CN" w:bidi="ar-SA"/>
        </w:rPr>
        <w:t>主要是受众向移动端转移，调频广播收听率</w:t>
      </w:r>
      <w:r>
        <w:rPr>
          <w:rFonts w:hint="eastAsia" w:ascii="Times New Roman" w:hAnsi="Times New Roman" w:eastAsia="仿宋_GB2312" w:cs="Times New Roman"/>
          <w:b w:val="0"/>
          <w:bCs w:val="0"/>
          <w:color w:val="auto"/>
          <w:kern w:val="2"/>
          <w:sz w:val="30"/>
          <w:szCs w:val="24"/>
          <w:highlight w:val="none"/>
          <w:lang w:val="en-US" w:eastAsia="zh-CN" w:bidi="ar-SA"/>
        </w:rPr>
        <w:t>有所</w:t>
      </w:r>
      <w:r>
        <w:rPr>
          <w:rFonts w:hint="default" w:ascii="Times New Roman" w:hAnsi="Times New Roman" w:eastAsia="仿宋_GB2312" w:cs="Times New Roman"/>
          <w:b w:val="0"/>
          <w:bCs w:val="0"/>
          <w:color w:val="auto"/>
          <w:kern w:val="2"/>
          <w:sz w:val="30"/>
          <w:szCs w:val="24"/>
          <w:highlight w:val="none"/>
          <w:lang w:val="en-US" w:eastAsia="zh-CN" w:bidi="ar-SA"/>
        </w:rPr>
        <w:t>下跌</w:t>
      </w:r>
      <w:r>
        <w:rPr>
          <w:rFonts w:hint="eastAsia" w:ascii="Times New Roman" w:hAnsi="Times New Roman" w:eastAsia="仿宋_GB2312" w:cs="Times New Roman"/>
          <w:b w:val="0"/>
          <w:bCs w:val="0"/>
          <w:color w:val="auto"/>
          <w:kern w:val="2"/>
          <w:sz w:val="30"/>
          <w:szCs w:val="24"/>
          <w:highlight w:val="none"/>
          <w:lang w:val="en-US" w:eastAsia="zh-CN" w:bidi="ar-SA"/>
        </w:rPr>
        <w:t>，下一步本单位将将传统媒体与新媒体想结合，扩宽传播方式，扩大传播范围。</w:t>
      </w:r>
    </w:p>
    <w:p>
      <w:pPr>
        <w:spacing w:line="360" w:lineRule="auto"/>
        <w:ind w:firstLine="600" w:firstLineChars="200"/>
        <w:rPr>
          <w:rFonts w:hint="default" w:ascii="Times New Roman" w:hAnsi="Times New Roman" w:cs="Times New Roman"/>
          <w:color w:val="auto"/>
          <w:lang w:val="en-US" w:eastAsia="zh-CN"/>
        </w:rPr>
      </w:pPr>
    </w:p>
    <w:p>
      <w:pPr>
        <w:pStyle w:val="2"/>
        <w:numPr>
          <w:ilvl w:val="0"/>
          <w:numId w:val="3"/>
        </w:numPr>
        <w:spacing w:line="360" w:lineRule="auto"/>
        <w:rPr>
          <w:rFonts w:hint="eastAsia" w:ascii="宋体" w:hAnsi="宋体" w:eastAsia="宋体"/>
          <w:color w:val="auto"/>
          <w:sz w:val="32"/>
          <w:szCs w:val="32"/>
        </w:rPr>
      </w:pPr>
      <w:r>
        <w:rPr>
          <w:rFonts w:hint="eastAsia" w:ascii="宋体" w:hAnsi="宋体" w:eastAsia="宋体"/>
          <w:color w:val="auto"/>
          <w:sz w:val="32"/>
          <w:szCs w:val="32"/>
        </w:rPr>
        <w:t>有关建议</w:t>
      </w:r>
      <w:bookmarkEnd w:id="19"/>
    </w:p>
    <w:p>
      <w:pPr>
        <w:spacing w:line="360" w:lineRule="auto"/>
        <w:ind w:firstLine="600" w:firstLineChars="200"/>
        <w:rPr>
          <w:rFonts w:hint="default" w:cs="Times New Roman"/>
          <w:color w:val="auto"/>
          <w:lang w:val="en-US" w:eastAsia="zh-CN"/>
        </w:rPr>
      </w:pPr>
      <w:r>
        <w:rPr>
          <w:rFonts w:hint="eastAsia" w:cs="Times New Roman"/>
          <w:color w:val="auto"/>
          <w:lang w:val="en-US" w:eastAsia="zh-CN"/>
        </w:rPr>
        <w:t>进一步完善经费使用管理制度，明确项目具体实施主体，对资金使用情况及时沟通，同时加大资金监管力度，提高公共项目社会价值，不断加大群众满意度。</w:t>
      </w:r>
    </w:p>
    <w:p>
      <w:pPr>
        <w:numPr>
          <w:ilvl w:val="0"/>
          <w:numId w:val="0"/>
        </w:numPr>
        <w:rPr>
          <w:color w:val="auto"/>
        </w:rPr>
      </w:pPr>
    </w:p>
    <w:p>
      <w:pPr>
        <w:pStyle w:val="2"/>
        <w:spacing w:line="360" w:lineRule="auto"/>
        <w:rPr>
          <w:rFonts w:ascii="宋体" w:hAnsi="宋体" w:eastAsia="宋体"/>
          <w:color w:val="auto"/>
          <w:sz w:val="32"/>
          <w:szCs w:val="32"/>
        </w:rPr>
      </w:pPr>
      <w:bookmarkStart w:id="20" w:name="_Toc68703846"/>
      <w:r>
        <w:rPr>
          <w:rFonts w:hint="eastAsia" w:ascii="宋体" w:hAnsi="宋体" w:eastAsia="宋体"/>
          <w:color w:val="auto"/>
          <w:sz w:val="32"/>
          <w:szCs w:val="32"/>
        </w:rPr>
        <w:t>七、其他需要说明的问题</w:t>
      </w:r>
      <w:bookmarkEnd w:id="20"/>
    </w:p>
    <w:p>
      <w:pPr>
        <w:spacing w:line="360" w:lineRule="auto"/>
        <w:ind w:firstLine="600" w:firstLineChars="200"/>
        <w:rPr>
          <w:rFonts w:hint="eastAsia" w:eastAsia="仿宋_GB2312"/>
          <w:color w:val="auto"/>
          <w:lang w:eastAsia="zh-CN"/>
        </w:rPr>
      </w:pPr>
      <w:r>
        <w:rPr>
          <w:rFonts w:hint="eastAsia"/>
          <w:color w:val="auto"/>
          <w:lang w:val="en-US" w:eastAsia="zh-CN"/>
        </w:rPr>
        <w:t>无</w:t>
      </w:r>
    </w:p>
    <w:p>
      <w:pPr>
        <w:rPr>
          <w:color w:val="auto"/>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99405"/>
    <w:multiLevelType w:val="singleLevel"/>
    <w:tmpl w:val="B8B99405"/>
    <w:lvl w:ilvl="0" w:tentative="0">
      <w:start w:val="6"/>
      <w:numFmt w:val="chineseCounting"/>
      <w:suff w:val="nothing"/>
      <w:lvlText w:val="%1、"/>
      <w:lvlJc w:val="left"/>
      <w:rPr>
        <w:rFonts w:hint="eastAsia"/>
      </w:rPr>
    </w:lvl>
  </w:abstractNum>
  <w:abstractNum w:abstractNumId="1">
    <w:nsid w:val="DAB97F0B"/>
    <w:multiLevelType w:val="singleLevel"/>
    <w:tmpl w:val="DAB97F0B"/>
    <w:lvl w:ilvl="0" w:tentative="0">
      <w:start w:val="2"/>
      <w:numFmt w:val="chineseCounting"/>
      <w:suff w:val="nothing"/>
      <w:lvlText w:val="（%1）"/>
      <w:lvlJc w:val="left"/>
      <w:rPr>
        <w:rFonts w:hint="eastAsia"/>
      </w:rPr>
    </w:lvl>
  </w:abstractNum>
  <w:abstractNum w:abstractNumId="2">
    <w:nsid w:val="4D0012D5"/>
    <w:multiLevelType w:val="singleLevel"/>
    <w:tmpl w:val="4D0012D5"/>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iNjIzZmVmZjQ1NmQ4ODhiNTFjM2NiN2FkNzEyNmMifQ=="/>
    <w:docVar w:name="KSO_WPS_MARK_KEY" w:val="ca24b6cd-500c-419e-8bcc-b3572afc204a"/>
  </w:docVars>
  <w:rsids>
    <w:rsidRoot w:val="007D49C5"/>
    <w:rsid w:val="000D63FA"/>
    <w:rsid w:val="005B64E8"/>
    <w:rsid w:val="00614288"/>
    <w:rsid w:val="00792CFE"/>
    <w:rsid w:val="007D49C5"/>
    <w:rsid w:val="008175E0"/>
    <w:rsid w:val="008C631D"/>
    <w:rsid w:val="00A114ED"/>
    <w:rsid w:val="00B24331"/>
    <w:rsid w:val="04E73377"/>
    <w:rsid w:val="0BCA2D62"/>
    <w:rsid w:val="0F2A6BF7"/>
    <w:rsid w:val="134B760B"/>
    <w:rsid w:val="17595131"/>
    <w:rsid w:val="1A0A47C4"/>
    <w:rsid w:val="1C61613B"/>
    <w:rsid w:val="1C8D3419"/>
    <w:rsid w:val="239E4756"/>
    <w:rsid w:val="36B72533"/>
    <w:rsid w:val="3D51545C"/>
    <w:rsid w:val="4057649F"/>
    <w:rsid w:val="41944ECE"/>
    <w:rsid w:val="43F32787"/>
    <w:rsid w:val="50246A00"/>
    <w:rsid w:val="56796849"/>
    <w:rsid w:val="57623B4D"/>
    <w:rsid w:val="5B944138"/>
    <w:rsid w:val="5DA95371"/>
    <w:rsid w:val="697F564E"/>
    <w:rsid w:val="6A6A4DB5"/>
    <w:rsid w:val="6E3F7F80"/>
    <w:rsid w:val="79967172"/>
    <w:rsid w:val="7B8143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标题 1 Char"/>
    <w:basedOn w:val="9"/>
    <w:link w:val="2"/>
    <w:qFormat/>
    <w:uiPriority w:val="9"/>
    <w:rPr>
      <w:rFonts w:ascii="Times New Roman" w:hAnsi="Times New Roman" w:eastAsia="仿宋_GB2312" w:cs="Times New Roman"/>
      <w:b/>
      <w:bCs/>
      <w:kern w:val="44"/>
      <w:sz w:val="44"/>
      <w:szCs w:val="44"/>
    </w:rPr>
  </w:style>
  <w:style w:type="character" w:customStyle="1" w:styleId="12">
    <w:name w:val="标题 2 Char"/>
    <w:basedOn w:val="9"/>
    <w:link w:val="3"/>
    <w:qFormat/>
    <w:uiPriority w:val="9"/>
    <w:rPr>
      <w:rFonts w:asciiTheme="majorHAnsi" w:hAnsiTheme="majorHAnsi" w:eastAsiaTheme="majorEastAsia" w:cstheme="majorBidi"/>
      <w:b/>
      <w:bCs/>
      <w:sz w:val="32"/>
      <w:szCs w:val="32"/>
    </w:rPr>
  </w:style>
  <w:style w:type="paragraph" w:customStyle="1" w:styleId="1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
    <w:name w:val="页眉 Char"/>
    <w:basedOn w:val="9"/>
    <w:link w:val="5"/>
    <w:semiHidden/>
    <w:qFormat/>
    <w:uiPriority w:val="99"/>
    <w:rPr>
      <w:rFonts w:ascii="Times New Roman" w:hAnsi="Times New Roman" w:eastAsia="仿宋_GB2312" w:cs="Times New Roman"/>
      <w:sz w:val="18"/>
      <w:szCs w:val="18"/>
    </w:rPr>
  </w:style>
  <w:style w:type="character" w:customStyle="1" w:styleId="15">
    <w:name w:val="页脚 Char"/>
    <w:basedOn w:val="9"/>
    <w:link w:val="4"/>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5018</Words>
  <Characters>5308</Characters>
  <Lines>37</Lines>
  <Paragraphs>10</Paragraphs>
  <TotalTime>24</TotalTime>
  <ScaleCrop>false</ScaleCrop>
  <LinksUpToDate>false</LinksUpToDate>
  <CharactersWithSpaces>5315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2023-09-06T04:33:59Z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345B2A2737944F54A5C183FC6FEFF4E3</vt:lpwstr>
  </property>
</Properties>
</file>