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color w:val="auto"/>
          <w:sz w:val="48"/>
          <w:szCs w:val="48"/>
        </w:rPr>
      </w:pPr>
    </w:p>
    <w:p>
      <w:pPr>
        <w:jc w:val="center"/>
        <w:rPr>
          <w:rFonts w:ascii="宋体" w:hAnsi="宋体" w:eastAsia="宋体" w:cs="Arial"/>
          <w:b/>
          <w:bCs/>
          <w:color w:val="auto"/>
          <w:sz w:val="48"/>
          <w:szCs w:val="48"/>
        </w:rPr>
      </w:pPr>
    </w:p>
    <w:p>
      <w:pPr>
        <w:jc w:val="center"/>
        <w:rPr>
          <w:rFonts w:ascii="宋体" w:hAnsi="宋体" w:eastAsia="宋体" w:cs="Arial"/>
          <w:b/>
          <w:bCs/>
          <w:color w:val="auto"/>
          <w:sz w:val="48"/>
          <w:szCs w:val="48"/>
        </w:rPr>
      </w:pPr>
    </w:p>
    <w:p>
      <w:pPr>
        <w:jc w:val="center"/>
        <w:rPr>
          <w:rFonts w:ascii="宋体" w:hAnsi="宋体" w:eastAsia="宋体" w:cs="Arial"/>
          <w:b/>
          <w:bCs/>
          <w:color w:val="auto"/>
          <w:sz w:val="52"/>
          <w:szCs w:val="52"/>
        </w:rPr>
      </w:pPr>
      <w:r>
        <w:rPr>
          <w:rFonts w:hint="eastAsia" w:ascii="宋体" w:hAnsi="宋体" w:eastAsia="宋体" w:cs="Arial"/>
          <w:b/>
          <w:bCs/>
          <w:color w:val="auto"/>
          <w:sz w:val="52"/>
          <w:szCs w:val="52"/>
        </w:rPr>
        <w:t>项目支出绩效评价报告</w:t>
      </w:r>
    </w:p>
    <w:p>
      <w:pPr>
        <w:jc w:val="center"/>
        <w:rPr>
          <w:rFonts w:ascii="宋体" w:hAnsi="宋体" w:eastAsia="宋体" w:cs="Arial"/>
          <w:b/>
          <w:bCs/>
          <w:color w:val="auto"/>
          <w:sz w:val="48"/>
          <w:szCs w:val="48"/>
        </w:rPr>
      </w:pPr>
    </w:p>
    <w:p>
      <w:pPr>
        <w:widowControl/>
        <w:spacing w:line="560" w:lineRule="exact"/>
        <w:jc w:val="center"/>
        <w:rPr>
          <w:rFonts w:ascii="仿宋_GB2312" w:hAnsi="仿宋_GB2312" w:cs="仿宋_GB2312"/>
          <w:b/>
          <w:color w:val="auto"/>
          <w:kern w:val="0"/>
          <w:sz w:val="50"/>
          <w:szCs w:val="50"/>
          <w:lang w:bidi="en-US"/>
        </w:rPr>
      </w:pPr>
      <w:r>
        <w:rPr>
          <w:rFonts w:hint="eastAsia" w:ascii="红豆小标宋简体" w:hAnsi="红豆小标宋简体" w:eastAsia="红豆小标宋简体" w:cs="红豆小标宋简体"/>
          <w:color w:val="auto"/>
          <w:kern w:val="0"/>
          <w:sz w:val="36"/>
          <w:szCs w:val="36"/>
        </w:rPr>
        <w:t>（2</w:t>
      </w:r>
      <w:r>
        <w:rPr>
          <w:rFonts w:ascii="红豆小标宋简体" w:hAnsi="红豆小标宋简体" w:eastAsia="红豆小标宋简体" w:cs="红豆小标宋简体"/>
          <w:color w:val="auto"/>
          <w:kern w:val="0"/>
          <w:sz w:val="36"/>
          <w:szCs w:val="36"/>
        </w:rPr>
        <w:t>02</w:t>
      </w:r>
      <w:r>
        <w:rPr>
          <w:rFonts w:hint="eastAsia" w:ascii="红豆小标宋简体" w:hAnsi="红豆小标宋简体" w:eastAsia="红豆小标宋简体" w:cs="红豆小标宋简体"/>
          <w:color w:val="auto"/>
          <w:kern w:val="0"/>
          <w:sz w:val="36"/>
          <w:szCs w:val="36"/>
          <w:lang w:val="en-US" w:eastAsia="zh-CN"/>
        </w:rPr>
        <w:t>2</w:t>
      </w:r>
      <w:r>
        <w:rPr>
          <w:rFonts w:hint="eastAsia" w:ascii="红豆小标宋简体" w:hAnsi="红豆小标宋简体" w:eastAsia="红豆小标宋简体" w:cs="红豆小标宋简体"/>
          <w:color w:val="auto"/>
          <w:kern w:val="0"/>
          <w:sz w:val="36"/>
          <w:szCs w:val="36"/>
        </w:rPr>
        <w:t>年度）</w:t>
      </w:r>
    </w:p>
    <w:p>
      <w:pPr>
        <w:spacing w:line="480" w:lineRule="auto"/>
        <w:jc w:val="center"/>
        <w:rPr>
          <w:rFonts w:ascii="仿宋_GB2312" w:hAnsi="仿宋_GB2312" w:cs="仿宋_GB2312"/>
          <w:b/>
          <w:color w:val="auto"/>
          <w:kern w:val="0"/>
          <w:sz w:val="50"/>
          <w:szCs w:val="50"/>
          <w:lang w:bidi="en-US"/>
        </w:rPr>
      </w:pPr>
    </w:p>
    <w:p>
      <w:pPr>
        <w:spacing w:line="480" w:lineRule="auto"/>
        <w:jc w:val="center"/>
        <w:rPr>
          <w:rFonts w:ascii="仿宋_GB2312" w:hAnsi="仿宋_GB2312" w:cs="仿宋_GB2312"/>
          <w:b/>
          <w:color w:val="auto"/>
          <w:kern w:val="0"/>
          <w:sz w:val="50"/>
          <w:szCs w:val="50"/>
          <w:lang w:bidi="en-US"/>
        </w:rPr>
      </w:pPr>
    </w:p>
    <w:p>
      <w:pPr>
        <w:spacing w:line="480" w:lineRule="auto"/>
        <w:jc w:val="center"/>
        <w:rPr>
          <w:rFonts w:ascii="仿宋_GB2312" w:hAnsi="仿宋_GB2312" w:cs="仿宋_GB2312"/>
          <w:b/>
          <w:color w:val="auto"/>
          <w:kern w:val="0"/>
          <w:sz w:val="50"/>
          <w:szCs w:val="50"/>
          <w:lang w:bidi="en-US"/>
        </w:rPr>
      </w:pPr>
    </w:p>
    <w:p>
      <w:pPr>
        <w:spacing w:line="480" w:lineRule="auto"/>
        <w:jc w:val="center"/>
        <w:rPr>
          <w:rFonts w:ascii="仿宋_GB2312" w:hAnsi="仿宋_GB2312" w:cs="仿宋_GB2312"/>
          <w:b/>
          <w:color w:val="auto"/>
          <w:kern w:val="0"/>
          <w:sz w:val="50"/>
          <w:szCs w:val="50"/>
          <w:lang w:bidi="en-US"/>
        </w:rPr>
      </w:pPr>
    </w:p>
    <w:p>
      <w:pPr>
        <w:spacing w:line="480" w:lineRule="auto"/>
        <w:jc w:val="center"/>
        <w:rPr>
          <w:rFonts w:ascii="仿宋_GB2312" w:hAnsi="仿宋_GB2312" w:cs="仿宋_GB2312"/>
          <w:b/>
          <w:color w:val="auto"/>
          <w:kern w:val="0"/>
          <w:sz w:val="50"/>
          <w:szCs w:val="50"/>
          <w:lang w:bidi="en-US"/>
        </w:rPr>
      </w:pPr>
    </w:p>
    <w:p>
      <w:pPr>
        <w:spacing w:line="560" w:lineRule="exact"/>
        <w:ind w:firstLine="321" w:firstLineChars="100"/>
        <w:rPr>
          <w:rFonts w:hint="default" w:ascii="宋体" w:hAnsi="宋体" w:eastAsia="宋体" w:cs="宋体"/>
          <w:color w:val="auto"/>
          <w:kern w:val="0"/>
          <w:sz w:val="32"/>
          <w:szCs w:val="32"/>
          <w:lang w:val="en-US" w:eastAsia="zh-CN"/>
        </w:rPr>
      </w:pPr>
      <w:r>
        <w:rPr>
          <w:rFonts w:hint="eastAsia" w:ascii="宋体" w:hAnsi="宋体" w:eastAsia="宋体" w:cs="仿宋_GB2312"/>
          <w:b/>
          <w:bCs/>
          <w:color w:val="auto"/>
          <w:kern w:val="0"/>
          <w:sz w:val="32"/>
          <w:szCs w:val="32"/>
        </w:rPr>
        <w:t>项目名称：</w:t>
      </w:r>
      <w:r>
        <w:rPr>
          <w:rFonts w:hint="eastAsia" w:ascii="宋体" w:hAnsi="宋体" w:eastAsia="宋体" w:cs="仿宋_GB2312"/>
          <w:color w:val="auto"/>
          <w:kern w:val="0"/>
          <w:sz w:val="32"/>
          <w:szCs w:val="32"/>
          <w:lang w:val="en-US" w:eastAsia="zh-CN"/>
        </w:rPr>
        <w:t>霍城县萨尔布拉克镇环境卫生整治项目</w:t>
      </w:r>
    </w:p>
    <w:p>
      <w:pPr>
        <w:spacing w:line="560" w:lineRule="exact"/>
        <w:ind w:firstLine="321" w:firstLineChars="100"/>
        <w:rPr>
          <w:rFonts w:hint="default" w:ascii="宋体" w:hAnsi="宋体" w:eastAsia="宋体" w:cs="宋体"/>
          <w:color w:val="auto"/>
          <w:kern w:val="0"/>
          <w:sz w:val="32"/>
          <w:szCs w:val="32"/>
          <w:lang w:val="en-US" w:eastAsia="zh-CN"/>
        </w:rPr>
      </w:pPr>
      <w:r>
        <w:rPr>
          <w:rFonts w:hint="eastAsia" w:ascii="宋体" w:hAnsi="宋体" w:eastAsia="宋体" w:cs="仿宋_GB2312"/>
          <w:b/>
          <w:bCs/>
          <w:color w:val="auto"/>
          <w:kern w:val="0"/>
          <w:sz w:val="32"/>
          <w:szCs w:val="32"/>
        </w:rPr>
        <w:t>实施单位（公章）：</w:t>
      </w:r>
      <w:bookmarkStart w:id="21" w:name="_GoBack"/>
      <w:r>
        <w:rPr>
          <w:rFonts w:hint="eastAsia" w:ascii="宋体" w:hAnsi="宋体" w:eastAsia="宋体" w:cs="仿宋_GB2312"/>
          <w:b w:val="0"/>
          <w:bCs w:val="0"/>
          <w:color w:val="auto"/>
          <w:kern w:val="0"/>
          <w:sz w:val="32"/>
          <w:szCs w:val="32"/>
          <w:lang w:val="en-US" w:eastAsia="zh-CN"/>
        </w:rPr>
        <w:t>霍城县萨尔布拉克镇人民政府</w:t>
      </w:r>
    </w:p>
    <w:bookmarkEnd w:id="21"/>
    <w:p>
      <w:pPr>
        <w:spacing w:line="560" w:lineRule="exact"/>
        <w:ind w:firstLine="321" w:firstLineChars="100"/>
        <w:rPr>
          <w:rFonts w:hint="default" w:ascii="宋体" w:hAnsi="宋体" w:eastAsia="宋体" w:cs="宋体"/>
          <w:color w:val="auto"/>
          <w:kern w:val="0"/>
          <w:sz w:val="32"/>
          <w:szCs w:val="32"/>
          <w:lang w:val="en-US" w:eastAsia="zh-CN"/>
        </w:rPr>
      </w:pPr>
      <w:r>
        <w:rPr>
          <w:rFonts w:hint="eastAsia" w:ascii="宋体" w:hAnsi="宋体" w:eastAsia="宋体" w:cs="仿宋_GB2312"/>
          <w:b/>
          <w:bCs/>
          <w:color w:val="auto"/>
          <w:kern w:val="0"/>
          <w:sz w:val="32"/>
          <w:szCs w:val="32"/>
        </w:rPr>
        <w:t>主管部门（公章）：</w:t>
      </w:r>
      <w:r>
        <w:rPr>
          <w:rFonts w:hint="eastAsia" w:ascii="宋体" w:hAnsi="宋体" w:eastAsia="宋体" w:cs="仿宋_GB2312"/>
          <w:b w:val="0"/>
          <w:bCs w:val="0"/>
          <w:color w:val="auto"/>
          <w:kern w:val="0"/>
          <w:sz w:val="32"/>
          <w:szCs w:val="32"/>
          <w:lang w:val="en-US" w:eastAsia="zh-CN"/>
        </w:rPr>
        <w:t>霍城县萨尔布拉克镇人民政府</w:t>
      </w:r>
    </w:p>
    <w:p>
      <w:pPr>
        <w:spacing w:line="560" w:lineRule="exact"/>
        <w:ind w:firstLine="321" w:firstLineChars="100"/>
        <w:rPr>
          <w:rFonts w:hint="eastAsia" w:ascii="宋体" w:hAnsi="宋体" w:eastAsia="宋体" w:cs="宋体"/>
          <w:color w:val="auto"/>
          <w:kern w:val="0"/>
          <w:sz w:val="32"/>
          <w:szCs w:val="32"/>
          <w:lang w:val="en-US" w:eastAsia="zh-CN"/>
        </w:rPr>
      </w:pPr>
      <w:r>
        <w:rPr>
          <w:rFonts w:hint="eastAsia" w:ascii="宋体" w:hAnsi="宋体" w:eastAsia="宋体" w:cs="仿宋_GB2312"/>
          <w:b/>
          <w:bCs/>
          <w:color w:val="auto"/>
          <w:kern w:val="0"/>
          <w:sz w:val="32"/>
          <w:szCs w:val="32"/>
        </w:rPr>
        <w:t>项目负责人（签章）：</w:t>
      </w:r>
      <w:r>
        <w:rPr>
          <w:rFonts w:hint="eastAsia" w:ascii="宋体" w:hAnsi="宋体" w:eastAsia="宋体" w:cs="仿宋_GB2312"/>
          <w:b w:val="0"/>
          <w:bCs w:val="0"/>
          <w:color w:val="auto"/>
          <w:kern w:val="0"/>
          <w:sz w:val="32"/>
          <w:szCs w:val="32"/>
          <w:lang w:val="en-US" w:eastAsia="zh-CN"/>
        </w:rPr>
        <w:t>胡建威</w:t>
      </w:r>
    </w:p>
    <w:p>
      <w:pPr>
        <w:spacing w:line="560" w:lineRule="exact"/>
        <w:ind w:firstLine="321" w:firstLineChars="100"/>
        <w:rPr>
          <w:rFonts w:ascii="宋体" w:hAnsi="宋体" w:eastAsia="宋体" w:cs="仿宋_GB2312"/>
          <w:color w:val="auto"/>
          <w:kern w:val="0"/>
          <w:sz w:val="32"/>
          <w:szCs w:val="32"/>
        </w:rPr>
      </w:pPr>
      <w:r>
        <w:rPr>
          <w:rFonts w:hint="eastAsia" w:ascii="宋体" w:hAnsi="宋体" w:eastAsia="宋体" w:cs="仿宋_GB2312"/>
          <w:b/>
          <w:bCs/>
          <w:color w:val="auto"/>
          <w:kern w:val="0"/>
          <w:sz w:val="32"/>
          <w:szCs w:val="32"/>
        </w:rPr>
        <w:t>填报时间：</w:t>
      </w:r>
      <w:r>
        <w:rPr>
          <w:rFonts w:hint="eastAsia" w:ascii="宋体" w:hAnsi="宋体" w:eastAsia="宋体" w:cs="仿宋_GB2312"/>
          <w:color w:val="auto"/>
          <w:kern w:val="0"/>
          <w:sz w:val="32"/>
          <w:szCs w:val="32"/>
        </w:rPr>
        <w:t>202</w:t>
      </w:r>
      <w:r>
        <w:rPr>
          <w:rFonts w:hint="eastAsia" w:ascii="宋体" w:hAnsi="宋体" w:eastAsia="宋体" w:cs="仿宋_GB2312"/>
          <w:color w:val="auto"/>
          <w:kern w:val="0"/>
          <w:sz w:val="32"/>
          <w:szCs w:val="32"/>
          <w:lang w:val="en-US" w:eastAsia="zh-CN"/>
        </w:rPr>
        <w:t>3</w:t>
      </w:r>
      <w:r>
        <w:rPr>
          <w:rFonts w:hint="eastAsia" w:ascii="宋体" w:hAnsi="宋体" w:eastAsia="宋体" w:cs="仿宋_GB2312"/>
          <w:color w:val="auto"/>
          <w:kern w:val="0"/>
          <w:sz w:val="32"/>
          <w:szCs w:val="32"/>
        </w:rPr>
        <w:t xml:space="preserve">年 </w:t>
      </w:r>
      <w:r>
        <w:rPr>
          <w:rFonts w:hint="eastAsia" w:ascii="宋体" w:hAnsi="宋体" w:eastAsia="宋体" w:cs="仿宋_GB2312"/>
          <w:color w:val="auto"/>
          <w:kern w:val="0"/>
          <w:sz w:val="32"/>
          <w:szCs w:val="32"/>
          <w:lang w:val="en-US" w:eastAsia="zh-CN"/>
        </w:rPr>
        <w:t>3</w:t>
      </w:r>
      <w:r>
        <w:rPr>
          <w:rFonts w:hint="eastAsia" w:ascii="宋体" w:hAnsi="宋体" w:eastAsia="宋体" w:cs="仿宋_GB2312"/>
          <w:color w:val="auto"/>
          <w:kern w:val="0"/>
          <w:sz w:val="32"/>
          <w:szCs w:val="32"/>
        </w:rPr>
        <w:t xml:space="preserve">  月  </w:t>
      </w:r>
      <w:r>
        <w:rPr>
          <w:rFonts w:hint="eastAsia" w:ascii="宋体" w:hAnsi="宋体" w:eastAsia="宋体" w:cs="仿宋_GB2312"/>
          <w:color w:val="auto"/>
          <w:kern w:val="0"/>
          <w:sz w:val="32"/>
          <w:szCs w:val="32"/>
          <w:lang w:val="en-US" w:eastAsia="zh-CN"/>
        </w:rPr>
        <w:t>25</w:t>
      </w:r>
      <w:r>
        <w:rPr>
          <w:rFonts w:hint="eastAsia" w:ascii="宋体" w:hAnsi="宋体" w:eastAsia="宋体" w:cs="仿宋_GB2312"/>
          <w:color w:val="auto"/>
          <w:kern w:val="0"/>
          <w:sz w:val="32"/>
          <w:szCs w:val="32"/>
        </w:rPr>
        <w:t xml:space="preserve"> 日</w:t>
      </w:r>
    </w:p>
    <w:p>
      <w:pPr>
        <w:widowControl/>
        <w:jc w:val="left"/>
        <w:rPr>
          <w:rFonts w:ascii="宋体" w:hAnsi="宋体" w:eastAsia="宋体" w:cs="Arial"/>
          <w:b/>
          <w:bCs/>
          <w:color w:val="auto"/>
          <w:sz w:val="36"/>
          <w:szCs w:val="36"/>
        </w:rPr>
      </w:pPr>
      <w:r>
        <w:rPr>
          <w:rFonts w:ascii="宋体" w:hAnsi="宋体" w:eastAsia="宋体" w:cs="Arial"/>
          <w:b/>
          <w:bCs/>
          <w:color w:val="auto"/>
          <w:sz w:val="36"/>
          <w:szCs w:val="36"/>
        </w:rPr>
        <w:br w:type="page"/>
      </w:r>
    </w:p>
    <w:p>
      <w:pPr>
        <w:jc w:val="center"/>
        <w:rPr>
          <w:rFonts w:ascii="仿宋_GB2312"/>
          <w:color w:val="auto"/>
        </w:rPr>
      </w:pPr>
      <w:r>
        <w:rPr>
          <w:rFonts w:hint="eastAsia" w:ascii="宋体" w:hAnsi="宋体" w:eastAsia="宋体" w:cs="Arial"/>
          <w:b/>
          <w:bCs/>
          <w:color w:val="auto"/>
          <w:sz w:val="36"/>
          <w:szCs w:val="36"/>
        </w:rPr>
        <w:t>项目支出</w:t>
      </w:r>
      <w:r>
        <w:rPr>
          <w:rFonts w:ascii="宋体" w:hAnsi="宋体" w:eastAsia="宋体" w:cs="Arial"/>
          <w:b/>
          <w:bCs/>
          <w:color w:val="auto"/>
          <w:sz w:val="36"/>
          <w:szCs w:val="36"/>
        </w:rPr>
        <w:t>绩效</w:t>
      </w:r>
      <w:r>
        <w:rPr>
          <w:rFonts w:hint="eastAsia" w:ascii="宋体" w:hAnsi="宋体" w:eastAsia="宋体" w:cs="Arial"/>
          <w:b/>
          <w:bCs/>
          <w:color w:val="auto"/>
          <w:sz w:val="36"/>
          <w:szCs w:val="36"/>
        </w:rPr>
        <w:t>评价报告</w:t>
      </w:r>
    </w:p>
    <w:p>
      <w:pPr>
        <w:pStyle w:val="5"/>
        <w:spacing w:line="360" w:lineRule="auto"/>
        <w:rPr>
          <w:rFonts w:ascii="宋体" w:hAnsi="宋体" w:eastAsia="宋体"/>
          <w:color w:val="auto"/>
          <w:sz w:val="32"/>
          <w:szCs w:val="32"/>
        </w:rPr>
      </w:pPr>
      <w:bookmarkStart w:id="0" w:name="_Toc68703827"/>
      <w:r>
        <w:rPr>
          <w:rFonts w:hint="eastAsia" w:ascii="宋体" w:hAnsi="宋体" w:eastAsia="宋体"/>
          <w:color w:val="auto"/>
          <w:sz w:val="32"/>
          <w:szCs w:val="32"/>
        </w:rPr>
        <w:t>一、基本情况</w:t>
      </w:r>
      <w:bookmarkEnd w:id="0"/>
    </w:p>
    <w:p>
      <w:pPr>
        <w:pStyle w:val="6"/>
        <w:spacing w:line="360" w:lineRule="auto"/>
        <w:rPr>
          <w:rFonts w:hint="eastAsia" w:ascii="仿宋_GB2312" w:eastAsia="仿宋_GB2312"/>
          <w:b w:val="0"/>
          <w:bCs w:val="0"/>
          <w:color w:val="auto"/>
        </w:rPr>
      </w:pPr>
      <w:bookmarkStart w:id="1" w:name="_Toc68703828"/>
      <w:r>
        <w:rPr>
          <w:rFonts w:hint="eastAsia" w:ascii="仿宋_GB2312" w:eastAsia="仿宋_GB2312"/>
          <w:b w:val="0"/>
          <w:bCs w:val="0"/>
          <w:color w:val="auto"/>
        </w:rPr>
        <w:t>（一）项目概况。</w:t>
      </w:r>
      <w:bookmarkEnd w:id="1"/>
    </w:p>
    <w:p>
      <w:pPr>
        <w:spacing w:line="360" w:lineRule="auto"/>
        <w:ind w:firstLine="600" w:firstLineChars="200"/>
        <w:rPr>
          <w:rFonts w:hint="eastAsia" w:ascii="仿宋_GB2312"/>
          <w:color w:val="auto"/>
        </w:rPr>
      </w:pPr>
      <w:r>
        <w:rPr>
          <w:rFonts w:hint="eastAsia" w:ascii="仿宋_GB2312"/>
          <w:color w:val="auto"/>
        </w:rPr>
        <w:t>1</w:t>
      </w:r>
      <w:r>
        <w:rPr>
          <w:rFonts w:hint="eastAsia" w:ascii="仿宋_GB2312"/>
          <w:color w:val="auto"/>
          <w:lang w:val="en-US" w:eastAsia="zh-CN"/>
        </w:rPr>
        <w:t>.</w:t>
      </w:r>
      <w:r>
        <w:rPr>
          <w:rFonts w:hint="eastAsia" w:ascii="仿宋_GB2312"/>
          <w:color w:val="auto"/>
        </w:rPr>
        <w:t>项目背景</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color w:val="auto"/>
        </w:rPr>
      </w:pPr>
      <w:r>
        <w:rPr>
          <w:rFonts w:hint="eastAsia" w:ascii="仿宋_GB2312"/>
          <w:color w:val="auto"/>
        </w:rPr>
        <w:t>党的十九大报告提出了实施乡村振兴战略，“二十字”方针，即产业兴旺、生态宜居、乡风文明、治理有效、生活富裕。生态宜居乡村建设，不仅要体现在改善乡村生态环境质量上，更要反映在提升广大群众对乡村美丽生活的满意度上。整洁的人居环境、干净的水源和清洁的空气是建设生态宜居美丽乡村的首要目标，人们在环境清新、绿色生态的自然环境中，保持心情舒畅、内心愉悦，幸福感提升。近年来，我镇持续开展环境卫生整治工作，乡镇环境卫生工作取得重大进展。在环境卫生整治工作中，由于镇投入资金改善环境的能力有限，环境基础设施薄弱，广大群众环保意识淡薄，实施有效的环境整治存在一定的困难，主要是镇区道路两旁及人行道旁绿化率不够，影响到镇容镇貌绿化美化；街面垃圾箱不足，垃圾随意丢弃，影响镇容整洁。环境卫生整治工作关系到镇容镇貌的改善，人居生活条件的改善。根据县财政局下发《关于下达2022年部门预算指标的通知》（霍财预【2022】1号）文件要求，2022年我镇实施农村环境卫生整治项目，绿化、美化镇区，保持镇区街面干净整洁，改善镇区人居生活条件。</w:t>
      </w:r>
    </w:p>
    <w:p>
      <w:pPr>
        <w:spacing w:line="360" w:lineRule="auto"/>
        <w:ind w:firstLine="600" w:firstLineChars="200"/>
        <w:rPr>
          <w:rFonts w:ascii="仿宋_GB2312"/>
          <w:color w:val="auto"/>
        </w:rPr>
      </w:pPr>
      <w:r>
        <w:rPr>
          <w:rFonts w:hint="eastAsia" w:ascii="仿宋_GB2312"/>
          <w:color w:val="auto"/>
        </w:rPr>
        <w:t>2</w:t>
      </w:r>
      <w:r>
        <w:rPr>
          <w:rFonts w:hint="eastAsia" w:ascii="仿宋_GB2312"/>
          <w:color w:val="auto"/>
          <w:lang w:val="en-US" w:eastAsia="zh-CN"/>
        </w:rPr>
        <w:t>.</w:t>
      </w:r>
      <w:r>
        <w:rPr>
          <w:rFonts w:hint="eastAsia" w:ascii="仿宋_GB2312"/>
          <w:color w:val="auto"/>
        </w:rPr>
        <w:t>主要内容</w:t>
      </w:r>
      <w:r>
        <w:rPr>
          <w:rFonts w:hint="eastAsia"/>
          <w:color w:val="auto"/>
        </w:rPr>
        <w:t>及</w:t>
      </w:r>
      <w:r>
        <w:rPr>
          <w:rFonts w:hint="eastAsia" w:ascii="仿宋_GB2312"/>
          <w:color w:val="auto"/>
        </w:rPr>
        <w:t>实施情况</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color w:val="auto"/>
        </w:rPr>
      </w:pPr>
      <w:r>
        <w:rPr>
          <w:rFonts w:hint="eastAsia" w:ascii="仿宋_GB2312"/>
          <w:color w:val="auto"/>
        </w:rPr>
        <w:t>主要内容：2022年通过镇区街道两旁种植树木15000</w:t>
      </w:r>
      <w:r>
        <w:rPr>
          <w:rFonts w:hint="eastAsia" w:ascii="仿宋_GB2312"/>
          <w:color w:val="auto"/>
          <w:lang w:val="en-US" w:eastAsia="zh-CN"/>
        </w:rPr>
        <w:t>棵</w:t>
      </w:r>
      <w:r>
        <w:rPr>
          <w:rFonts w:hint="eastAsia" w:ascii="仿宋_GB2312"/>
          <w:color w:val="auto"/>
        </w:rPr>
        <w:t>，荒坡种植爬山虎20000个，主街道两旁安置垃圾桶80个，聘用8名环卫工人开展日常街道卫生清扫，达到乡镇环境卫生整洁。</w:t>
      </w:r>
    </w:p>
    <w:p>
      <w:pPr>
        <w:spacing w:line="360" w:lineRule="auto"/>
        <w:ind w:firstLine="600" w:firstLineChars="200"/>
        <w:rPr>
          <w:rFonts w:hint="default" w:ascii="仿宋_GB2312" w:eastAsia="仿宋_GB2312"/>
          <w:color w:val="auto"/>
          <w:lang w:val="en-US" w:eastAsia="zh-CN"/>
        </w:rPr>
      </w:pPr>
      <w:r>
        <w:rPr>
          <w:rFonts w:hint="eastAsia" w:ascii="仿宋_GB2312"/>
          <w:color w:val="auto"/>
        </w:rPr>
        <w:t>实施情况：</w:t>
      </w:r>
      <w:r>
        <w:rPr>
          <w:rFonts w:hint="eastAsia" w:ascii="仿宋_GB2312"/>
          <w:color w:val="auto"/>
          <w:lang w:val="en-US" w:eastAsia="zh-CN"/>
        </w:rPr>
        <w:t>2022年已完成镇区街道两旁种植树木15000棵，荒坡种植爬山虎20000个，主街道两旁安置垃圾桶80个，8名环卫工人每天开展街道卫生清扫，达到了乡镇环境卫生整洁。</w:t>
      </w:r>
    </w:p>
    <w:p>
      <w:pPr>
        <w:spacing w:line="360" w:lineRule="auto"/>
        <w:ind w:firstLine="600" w:firstLineChars="200"/>
        <w:rPr>
          <w:rFonts w:ascii="仿宋_GB2312"/>
          <w:color w:val="auto"/>
        </w:rPr>
      </w:pPr>
      <w:r>
        <w:rPr>
          <w:rFonts w:ascii="仿宋_GB2312"/>
          <w:color w:val="auto"/>
        </w:rPr>
        <w:t>3</w:t>
      </w:r>
      <w:r>
        <w:rPr>
          <w:rFonts w:hint="eastAsia" w:ascii="仿宋_GB2312"/>
          <w:color w:val="auto"/>
          <w:lang w:val="en-US" w:eastAsia="zh-CN"/>
        </w:rPr>
        <w:t>.</w:t>
      </w:r>
      <w:r>
        <w:rPr>
          <w:rFonts w:hint="eastAsia" w:ascii="仿宋_GB2312"/>
          <w:color w:val="auto"/>
        </w:rPr>
        <w:t>资金投入和使用情况</w:t>
      </w:r>
    </w:p>
    <w:p>
      <w:pPr>
        <w:spacing w:line="360" w:lineRule="auto"/>
        <w:ind w:firstLine="600" w:firstLineChars="200"/>
        <w:rPr>
          <w:color w:val="auto"/>
        </w:rPr>
      </w:pPr>
      <w:r>
        <w:rPr>
          <w:rFonts w:hint="eastAsia"/>
          <w:color w:val="auto"/>
        </w:rPr>
        <w:t>资金投入情况：该项目年初预算数</w:t>
      </w:r>
      <w:r>
        <w:rPr>
          <w:rFonts w:hint="eastAsia"/>
          <w:color w:val="auto"/>
          <w:lang w:val="en-US" w:eastAsia="zh-CN"/>
        </w:rPr>
        <w:t>50.00</w:t>
      </w:r>
      <w:r>
        <w:rPr>
          <w:rFonts w:hint="eastAsia"/>
          <w:color w:val="auto"/>
        </w:rPr>
        <w:t>万元，全年预算数</w:t>
      </w:r>
      <w:r>
        <w:rPr>
          <w:rFonts w:hint="eastAsia"/>
          <w:color w:val="auto"/>
          <w:lang w:val="en-US" w:eastAsia="zh-CN"/>
        </w:rPr>
        <w:t>50.00</w:t>
      </w:r>
      <w:r>
        <w:rPr>
          <w:rFonts w:hint="eastAsia"/>
          <w:color w:val="auto"/>
        </w:rPr>
        <w:t>万元，实际总投入</w:t>
      </w:r>
      <w:r>
        <w:rPr>
          <w:rFonts w:hint="eastAsia"/>
          <w:color w:val="auto"/>
          <w:lang w:val="en-US" w:eastAsia="zh-CN"/>
        </w:rPr>
        <w:t>50.00</w:t>
      </w:r>
      <w:r>
        <w:rPr>
          <w:rFonts w:hint="eastAsia"/>
          <w:color w:val="auto"/>
        </w:rPr>
        <w:t>万元，该项目资金已全部落实到位，资金来源为</w:t>
      </w:r>
      <w:r>
        <w:rPr>
          <w:rFonts w:hint="eastAsia"/>
          <w:color w:val="auto"/>
          <w:lang w:val="en-US" w:eastAsia="zh-CN"/>
        </w:rPr>
        <w:t>财政拨款</w:t>
      </w:r>
      <w:r>
        <w:rPr>
          <w:rFonts w:hint="eastAsia"/>
          <w:color w:val="auto"/>
        </w:rPr>
        <w:t>。</w:t>
      </w:r>
    </w:p>
    <w:p>
      <w:pPr>
        <w:spacing w:line="360" w:lineRule="auto"/>
        <w:ind w:firstLine="600" w:firstLineChars="200"/>
        <w:rPr>
          <w:rFonts w:hint="eastAsia"/>
          <w:color w:val="auto"/>
        </w:rPr>
      </w:pPr>
      <w:r>
        <w:rPr>
          <w:rFonts w:hint="eastAsia"/>
          <w:color w:val="auto"/>
        </w:rPr>
        <w:t>资金使用情况：该项目年初预算数</w:t>
      </w:r>
      <w:r>
        <w:rPr>
          <w:rFonts w:hint="eastAsia"/>
          <w:color w:val="auto"/>
          <w:lang w:val="en-US" w:eastAsia="zh-CN"/>
        </w:rPr>
        <w:t>50.00</w:t>
      </w:r>
      <w:r>
        <w:rPr>
          <w:rFonts w:hint="eastAsia"/>
          <w:color w:val="auto"/>
        </w:rPr>
        <w:t>万元，全年预算数</w:t>
      </w:r>
      <w:r>
        <w:rPr>
          <w:rFonts w:hint="eastAsia"/>
          <w:color w:val="auto"/>
          <w:lang w:val="en-US" w:eastAsia="zh-CN"/>
        </w:rPr>
        <w:t>50.00</w:t>
      </w:r>
      <w:r>
        <w:rPr>
          <w:rFonts w:hint="eastAsia"/>
          <w:color w:val="auto"/>
        </w:rPr>
        <w:t>万元，全年执行数</w:t>
      </w:r>
      <w:r>
        <w:rPr>
          <w:rFonts w:hint="eastAsia"/>
          <w:color w:val="auto"/>
          <w:lang w:val="en-US" w:eastAsia="zh-CN"/>
        </w:rPr>
        <w:t>50.00</w:t>
      </w:r>
      <w:r>
        <w:rPr>
          <w:rFonts w:hint="eastAsia"/>
          <w:color w:val="auto"/>
        </w:rPr>
        <w:t>万元，预算执行率为</w:t>
      </w:r>
      <w:r>
        <w:rPr>
          <w:rFonts w:hint="eastAsia"/>
          <w:color w:val="auto"/>
          <w:lang w:val="en-US" w:eastAsia="zh-CN"/>
        </w:rPr>
        <w:t>100</w:t>
      </w:r>
      <w:r>
        <w:rPr>
          <w:rFonts w:hint="eastAsia"/>
          <w:color w:val="auto"/>
        </w:rPr>
        <w:t>%，用于：</w:t>
      </w:r>
      <w:r>
        <w:rPr>
          <w:rFonts w:hint="eastAsia"/>
          <w:color w:val="auto"/>
          <w:lang w:val="en-US" w:eastAsia="zh-CN"/>
        </w:rPr>
        <w:t>树苗采购及种植树木（道路两旁树田平整、挖沟）26.4</w:t>
      </w:r>
      <w:r>
        <w:rPr>
          <w:rFonts w:hint="eastAsia"/>
          <w:color w:val="auto"/>
        </w:rPr>
        <w:t>万元</w:t>
      </w:r>
      <w:r>
        <w:rPr>
          <w:rFonts w:hint="eastAsia"/>
          <w:color w:val="auto"/>
          <w:lang w:eastAsia="zh-CN"/>
        </w:rPr>
        <w:t>，</w:t>
      </w:r>
      <w:r>
        <w:rPr>
          <w:rFonts w:hint="eastAsia"/>
          <w:color w:val="auto"/>
          <w:lang w:val="en-US" w:eastAsia="zh-CN"/>
        </w:rPr>
        <w:t>种植爬山虎2.0万元，购置垃圾桶2.4万元，环卫工人工资19.2万元。</w:t>
      </w:r>
    </w:p>
    <w:p>
      <w:pPr>
        <w:pStyle w:val="6"/>
        <w:spacing w:line="360" w:lineRule="auto"/>
        <w:ind w:firstLine="640" w:firstLineChars="200"/>
        <w:rPr>
          <w:rFonts w:hint="eastAsia" w:ascii="仿宋_GB2312" w:eastAsia="仿宋_GB2312"/>
          <w:b w:val="0"/>
          <w:bCs w:val="0"/>
          <w:color w:val="auto"/>
        </w:rPr>
      </w:pPr>
      <w:bookmarkStart w:id="2" w:name="_Toc68703829"/>
      <w:r>
        <w:rPr>
          <w:rFonts w:hint="eastAsia" w:ascii="仿宋_GB2312" w:eastAsia="仿宋_GB2312"/>
          <w:b w:val="0"/>
          <w:bCs w:val="0"/>
          <w:color w:val="auto"/>
        </w:rPr>
        <w:t>（二）项目绩效目标。</w:t>
      </w:r>
      <w:bookmarkEnd w:id="2"/>
    </w:p>
    <w:p>
      <w:pPr>
        <w:spacing w:line="360" w:lineRule="auto"/>
        <w:ind w:firstLine="600" w:firstLineChars="200"/>
        <w:rPr>
          <w:rFonts w:hint="eastAsia"/>
          <w:color w:val="auto"/>
        </w:rPr>
      </w:pPr>
      <w:r>
        <w:rPr>
          <w:rFonts w:hint="eastAsia"/>
          <w:color w:val="auto"/>
        </w:rPr>
        <w:t>1</w:t>
      </w:r>
      <w:r>
        <w:rPr>
          <w:rFonts w:hint="eastAsia"/>
          <w:color w:val="auto"/>
          <w:lang w:val="en-US" w:eastAsia="zh-CN"/>
        </w:rPr>
        <w:t>.</w:t>
      </w:r>
      <w:r>
        <w:rPr>
          <w:rFonts w:hint="eastAsia"/>
          <w:color w:val="auto"/>
        </w:rPr>
        <w:t>总体目标：根据乡镇环境卫生整治工作目标要求，履行环卫职能，保障村级及镇区环境卫生有效改善。2022年通过镇区街道两旁种植树木，荒坡种植爬山虎，主街道两旁安置垃圾桶，环卫工人日常卫生清扫，达到乡镇环境卫生整洁。</w:t>
      </w:r>
    </w:p>
    <w:p>
      <w:pPr>
        <w:spacing w:line="360" w:lineRule="auto"/>
        <w:ind w:firstLine="600" w:firstLineChars="200"/>
        <w:rPr>
          <w:rFonts w:hint="default" w:eastAsia="仿宋_GB2312"/>
          <w:color w:val="auto"/>
          <w:lang w:val="en-US" w:eastAsia="zh-CN"/>
        </w:rPr>
      </w:pPr>
      <w:r>
        <w:rPr>
          <w:color w:val="auto"/>
        </w:rPr>
        <w:t>2</w:t>
      </w:r>
      <w:r>
        <w:rPr>
          <w:rFonts w:hint="eastAsia"/>
          <w:color w:val="auto"/>
          <w:lang w:val="en-US" w:eastAsia="zh-CN"/>
        </w:rPr>
        <w:t>.</w:t>
      </w:r>
      <w:r>
        <w:rPr>
          <w:rFonts w:hint="eastAsia"/>
          <w:color w:val="auto"/>
        </w:rPr>
        <w:t>阶段性目标：</w:t>
      </w:r>
      <w:r>
        <w:rPr>
          <w:rFonts w:hint="eastAsia"/>
          <w:color w:val="auto"/>
          <w:lang w:val="en-US" w:eastAsia="zh-CN"/>
        </w:rPr>
        <w:t>2022年通过镇区街道两旁种植20000棵树木，荒坡种植10000棵爬山虎，主街道两旁安置80个垃圾箱，8名环卫工人开展日常卫生清扫，达到了乡镇卫生整洁。</w:t>
      </w:r>
    </w:p>
    <w:p>
      <w:pPr>
        <w:pStyle w:val="5"/>
        <w:spacing w:line="360" w:lineRule="auto"/>
        <w:rPr>
          <w:rFonts w:ascii="宋体" w:hAnsi="宋体" w:eastAsia="宋体"/>
          <w:color w:val="auto"/>
          <w:sz w:val="32"/>
          <w:szCs w:val="32"/>
        </w:rPr>
      </w:pPr>
      <w:bookmarkStart w:id="3" w:name="_Toc68703830"/>
      <w:r>
        <w:rPr>
          <w:rFonts w:hint="eastAsia" w:ascii="宋体" w:hAnsi="宋体" w:eastAsia="宋体"/>
          <w:color w:val="auto"/>
          <w:sz w:val="32"/>
          <w:szCs w:val="32"/>
        </w:rPr>
        <w:t>二、绩效评价工作开展情况</w:t>
      </w:r>
      <w:bookmarkEnd w:id="3"/>
    </w:p>
    <w:p>
      <w:pPr>
        <w:pStyle w:val="6"/>
        <w:spacing w:line="360" w:lineRule="auto"/>
        <w:rPr>
          <w:rFonts w:hint="eastAsia" w:ascii="仿宋_GB2312" w:eastAsia="仿宋_GB2312"/>
          <w:b w:val="0"/>
          <w:bCs w:val="0"/>
          <w:color w:val="auto"/>
        </w:rPr>
      </w:pPr>
      <w:bookmarkStart w:id="4" w:name="_Toc68703831"/>
      <w:r>
        <w:rPr>
          <w:rFonts w:hint="eastAsia" w:ascii="仿宋_GB2312" w:eastAsia="仿宋_GB2312"/>
          <w:b w:val="0"/>
          <w:bCs w:val="0"/>
          <w:color w:val="auto"/>
        </w:rPr>
        <w:t>（一）绩效评价目的、对象和范围。</w:t>
      </w:r>
      <w:bookmarkEnd w:id="4"/>
    </w:p>
    <w:p>
      <w:pPr>
        <w:spacing w:line="360" w:lineRule="auto"/>
        <w:rPr>
          <w:color w:val="auto"/>
        </w:rPr>
      </w:pPr>
      <w:r>
        <w:rPr>
          <w:rFonts w:hint="eastAsia"/>
          <w:color w:val="auto"/>
        </w:rPr>
        <w:t>1</w:t>
      </w:r>
      <w:r>
        <w:rPr>
          <w:rFonts w:hint="eastAsia"/>
          <w:color w:val="auto"/>
          <w:lang w:val="en-US" w:eastAsia="zh-CN"/>
        </w:rPr>
        <w:t>.</w:t>
      </w:r>
      <w:r>
        <w:rPr>
          <w:rFonts w:hint="eastAsia"/>
          <w:color w:val="auto"/>
        </w:rPr>
        <w:t>绩效评价目的：</w:t>
      </w:r>
    </w:p>
    <w:p>
      <w:pPr>
        <w:spacing w:line="360" w:lineRule="auto"/>
        <w:ind w:firstLine="600" w:firstLineChars="200"/>
        <w:jc w:val="left"/>
        <w:rPr>
          <w:rFonts w:ascii="仿宋_GB2312"/>
          <w:bCs/>
          <w:color w:val="auto"/>
          <w:sz w:val="30"/>
          <w:szCs w:val="30"/>
        </w:rPr>
      </w:pPr>
      <w:r>
        <w:rPr>
          <w:rFonts w:hint="eastAsia" w:ascii="仿宋_GB2312"/>
          <w:bCs/>
          <w:color w:val="auto"/>
          <w:sz w:val="30"/>
          <w:szCs w:val="30"/>
        </w:rPr>
        <w:t>通过绩效评价，客观地评判项目的管理绩效，了解和掌握</w:t>
      </w:r>
      <w:r>
        <w:rPr>
          <w:rFonts w:hint="eastAsia" w:ascii="仿宋_GB2312"/>
          <w:bCs/>
          <w:color w:val="auto"/>
          <w:sz w:val="30"/>
          <w:szCs w:val="30"/>
          <w:lang w:val="en-US" w:eastAsia="zh-CN"/>
        </w:rPr>
        <w:t>霍城县萨尔布拉克镇环境卫生整治项目</w:t>
      </w:r>
      <w:r>
        <w:rPr>
          <w:rFonts w:hint="eastAsia" w:ascii="仿宋_GB2312"/>
          <w:bCs/>
          <w:color w:val="auto"/>
          <w:sz w:val="30"/>
          <w:szCs w:val="30"/>
        </w:rPr>
        <w:t>经费的具体情况，评价该项目资金安排的科学性、合理性、规范性和资金的使用成效，及时总结项目管理经验，完善项目管理办法，提高项目管理水平和资金使用效益。促使我</w:t>
      </w:r>
      <w:r>
        <w:rPr>
          <w:rFonts w:hint="eastAsia" w:ascii="仿宋_GB2312"/>
          <w:bCs/>
          <w:color w:val="auto"/>
          <w:sz w:val="30"/>
          <w:szCs w:val="30"/>
          <w:lang w:val="en-US" w:eastAsia="zh-CN"/>
        </w:rPr>
        <w:t>单位</w:t>
      </w:r>
      <w:r>
        <w:rPr>
          <w:rFonts w:hint="eastAsia" w:ascii="仿宋_GB2312"/>
          <w:bCs/>
          <w:color w:val="auto"/>
          <w:sz w:val="30"/>
          <w:szCs w:val="30"/>
        </w:rPr>
        <w:t>根据绩效评价中发现的问题，认真加以整改，及时调整和完善单位的工作计划并加强项目</w:t>
      </w:r>
      <w:r>
        <w:rPr>
          <w:rFonts w:hint="eastAsia" w:ascii="仿宋_GB2312"/>
          <w:bCs/>
          <w:color w:val="auto"/>
          <w:sz w:val="30"/>
          <w:szCs w:val="30"/>
          <w:lang w:val="en-US" w:eastAsia="zh-CN"/>
        </w:rPr>
        <w:t>绩效</w:t>
      </w:r>
      <w:r>
        <w:rPr>
          <w:rFonts w:hint="eastAsia" w:ascii="仿宋_GB2312"/>
          <w:bCs/>
          <w:color w:val="auto"/>
          <w:sz w:val="30"/>
          <w:szCs w:val="30"/>
        </w:rPr>
        <w:t>管理，同时为项目后续资金投入、分配和管理提供决策依据。</w:t>
      </w:r>
    </w:p>
    <w:p>
      <w:pPr>
        <w:spacing w:line="360" w:lineRule="auto"/>
        <w:ind w:firstLine="600" w:firstLineChars="200"/>
        <w:jc w:val="left"/>
        <w:rPr>
          <w:color w:val="auto"/>
        </w:rPr>
      </w:pPr>
      <w:r>
        <w:rPr>
          <w:rFonts w:hint="eastAsia"/>
          <w:color w:val="auto"/>
        </w:rPr>
        <w:t>2</w:t>
      </w:r>
      <w:r>
        <w:rPr>
          <w:rFonts w:hint="eastAsia"/>
          <w:color w:val="auto"/>
          <w:lang w:val="en-US" w:eastAsia="zh-CN"/>
        </w:rPr>
        <w:t>.</w:t>
      </w:r>
      <w:r>
        <w:rPr>
          <w:rFonts w:hint="eastAsia"/>
          <w:color w:val="auto"/>
        </w:rPr>
        <w:t>绩效评价对象：</w:t>
      </w:r>
    </w:p>
    <w:p>
      <w:pPr>
        <w:spacing w:line="360" w:lineRule="auto"/>
        <w:ind w:firstLine="600" w:firstLineChars="200"/>
        <w:jc w:val="left"/>
        <w:rPr>
          <w:rFonts w:hint="default" w:ascii="仿宋_GB2312"/>
          <w:bCs/>
          <w:color w:val="auto"/>
          <w:sz w:val="30"/>
          <w:szCs w:val="30"/>
          <w:lang w:val="en-US" w:eastAsia="zh-CN"/>
        </w:rPr>
      </w:pPr>
      <w:r>
        <w:rPr>
          <w:rFonts w:hint="eastAsia" w:ascii="仿宋_GB2312"/>
          <w:bCs/>
          <w:color w:val="auto"/>
          <w:sz w:val="30"/>
          <w:szCs w:val="30"/>
          <w:lang w:val="en-US" w:eastAsia="zh-CN"/>
        </w:rPr>
        <w:t>霍城县萨尔布拉克镇环境卫生整治项目</w:t>
      </w:r>
    </w:p>
    <w:p>
      <w:pPr>
        <w:spacing w:line="360" w:lineRule="auto"/>
        <w:ind w:firstLine="600" w:firstLineChars="200"/>
        <w:rPr>
          <w:color w:val="auto"/>
        </w:rPr>
      </w:pPr>
      <w:r>
        <w:rPr>
          <w:rFonts w:hint="eastAsia"/>
          <w:color w:val="auto"/>
        </w:rPr>
        <w:t>3</w:t>
      </w:r>
      <w:r>
        <w:rPr>
          <w:rFonts w:hint="eastAsia"/>
          <w:color w:val="auto"/>
          <w:lang w:val="en-US" w:eastAsia="zh-CN"/>
        </w:rPr>
        <w:t>.</w:t>
      </w:r>
      <w:r>
        <w:rPr>
          <w:rFonts w:hint="eastAsia"/>
          <w:color w:val="auto"/>
        </w:rPr>
        <w:t>绩效评价范围：</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本次评价从项目决策（包括绩效目标、决策过程）、项目管理（包括项目资金、项目实施）、项目产出（包括项目产出数量、产出质量、产出时效和产出成本）项目效益四个维度进行霍城县萨尔布拉克镇环境卫生整治项目评价，评价核心为资金的支出完成情况和效果。</w:t>
      </w:r>
    </w:p>
    <w:p>
      <w:pPr>
        <w:spacing w:line="360" w:lineRule="auto"/>
        <w:ind w:firstLine="640" w:firstLineChars="200"/>
        <w:jc w:val="left"/>
        <w:rPr>
          <w:rFonts w:hint="eastAsia" w:ascii="仿宋_GB2312"/>
          <w:bCs/>
          <w:color w:val="auto"/>
          <w:sz w:val="32"/>
          <w:szCs w:val="32"/>
        </w:rPr>
      </w:pPr>
    </w:p>
    <w:p>
      <w:pPr>
        <w:pStyle w:val="6"/>
        <w:spacing w:line="360" w:lineRule="auto"/>
        <w:rPr>
          <w:rFonts w:hint="eastAsia" w:ascii="仿宋_GB2312" w:eastAsia="仿宋_GB2312"/>
          <w:b w:val="0"/>
          <w:bCs w:val="0"/>
          <w:color w:val="auto"/>
        </w:rPr>
      </w:pPr>
      <w:bookmarkStart w:id="5" w:name="_Toc68703832"/>
      <w:r>
        <w:rPr>
          <w:rFonts w:hint="eastAsia" w:ascii="仿宋_GB2312" w:eastAsia="仿宋_GB2312"/>
          <w:b w:val="0"/>
          <w:bCs w:val="0"/>
          <w:color w:val="auto"/>
        </w:rPr>
        <w:t>（二）绩效评价原则、评价指标体系、评价方法、评价标准等。</w:t>
      </w:r>
      <w:bookmarkEnd w:id="5"/>
    </w:p>
    <w:p>
      <w:pPr>
        <w:spacing w:line="360" w:lineRule="auto"/>
        <w:ind w:firstLine="600" w:firstLineChars="200"/>
        <w:jc w:val="left"/>
        <w:rPr>
          <w:rFonts w:hint="eastAsia"/>
          <w:color w:val="auto"/>
        </w:rPr>
      </w:pPr>
      <w:r>
        <w:rPr>
          <w:rFonts w:hint="eastAsia"/>
          <w:color w:val="auto"/>
        </w:rPr>
        <w:t>1</w:t>
      </w:r>
      <w:r>
        <w:rPr>
          <w:rFonts w:hint="eastAsia"/>
          <w:color w:val="auto"/>
          <w:lang w:val="en-US" w:eastAsia="zh-CN"/>
        </w:rPr>
        <w:t>.</w:t>
      </w:r>
      <w:r>
        <w:rPr>
          <w:rFonts w:hint="eastAsia"/>
          <w:color w:val="auto"/>
        </w:rPr>
        <w:t>绩效评价原则</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（（一）科学公正。本次项目支出绩效评价运用科学合理的方法，按照规范的程序，对项目绩效进行客观、公正的反映。</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（二）统筹兼顾。本次项目支出绩效评价由本单位自主实施，即“谁支出、谁自评”。</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（三）激励约束。本次项目支出绩效评价结果与预算安排、政策调整、改进管理实质性挂钩，体现奖优罚劣和激励相容导向，有效要安排、低效要压减、无效要问责。</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（四）公开透明。本次项目支出绩效评价结果已依法依规公开在霍城县政府网网站上，并自觉接受社会监督。</w:t>
      </w:r>
    </w:p>
    <w:p>
      <w:pPr>
        <w:spacing w:line="360" w:lineRule="auto"/>
        <w:ind w:firstLine="600" w:firstLineChars="200"/>
        <w:jc w:val="left"/>
        <w:rPr>
          <w:rFonts w:hint="eastAsia"/>
          <w:color w:val="auto"/>
        </w:rPr>
      </w:pPr>
      <w:r>
        <w:rPr>
          <w:rFonts w:hint="eastAsia"/>
          <w:color w:val="auto"/>
        </w:rPr>
        <w:t>2、评价指标体系（附表说明）</w:t>
      </w:r>
    </w:p>
    <w:p>
      <w:pPr>
        <w:pStyle w:val="6"/>
        <w:spacing w:before="0" w:after="0" w:line="240" w:lineRule="auto"/>
        <w:jc w:val="center"/>
        <w:rPr>
          <w:rFonts w:ascii="Times New Roman" w:hAnsi="Times New Roman" w:eastAsia="仿宋_GB2312" w:cs="Times New Roman"/>
          <w:b w:val="0"/>
          <w:bCs w:val="0"/>
          <w:color w:val="auto"/>
          <w:sz w:val="30"/>
          <w:szCs w:val="24"/>
        </w:rPr>
      </w:pPr>
      <w:r>
        <w:rPr>
          <w:rFonts w:hint="eastAsia" w:ascii="Times New Roman" w:hAnsi="Times New Roman" w:eastAsia="仿宋_GB2312" w:cs="Times New Roman"/>
          <w:b w:val="0"/>
          <w:bCs w:val="0"/>
          <w:color w:val="auto"/>
          <w:sz w:val="30"/>
          <w:szCs w:val="24"/>
          <w:lang w:val="en-US" w:eastAsia="zh-CN"/>
        </w:rPr>
        <w:t>霍城县萨尔布拉克镇环境卫生整治</w:t>
      </w:r>
      <w:r>
        <w:rPr>
          <w:rFonts w:hint="eastAsia" w:ascii="Times New Roman" w:hAnsi="Times New Roman" w:eastAsia="仿宋_GB2312" w:cs="Times New Roman"/>
          <w:b w:val="0"/>
          <w:bCs w:val="0"/>
          <w:color w:val="auto"/>
          <w:sz w:val="30"/>
          <w:szCs w:val="24"/>
        </w:rPr>
        <w:t>项目支出绩效评价指标体系</w:t>
      </w:r>
    </w:p>
    <w:tbl>
      <w:tblPr>
        <w:tblStyle w:val="11"/>
        <w:tblW w:w="985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0" w:lineRule="atLeast"/>
              <w:jc w:val="center"/>
              <w:rPr>
                <w:rFonts w:ascii="宋体" w:hAnsi="宋体" w:eastAsia="宋体" w:cs="宋体"/>
                <w:b/>
                <w:bCs/>
                <w:color w:val="auto"/>
                <w:kern w:val="0"/>
                <w:sz w:val="22"/>
              </w:rPr>
            </w:pPr>
            <w:r>
              <w:rPr>
                <w:rFonts w:hint="eastAsia" w:ascii="宋体" w:hAnsi="宋体" w:eastAsia="宋体" w:cs="宋体"/>
                <w:b/>
                <w:bCs/>
                <w:color w:val="auto"/>
                <w:kern w:val="0"/>
                <w:sz w:val="22"/>
              </w:rPr>
              <w:t>一级指标</w:t>
            </w:r>
          </w:p>
        </w:tc>
        <w:tc>
          <w:tcPr>
            <w:tcW w:w="1478" w:type="dxa"/>
            <w:shd w:val="clear" w:color="auto" w:fill="FFFFFF"/>
            <w:vAlign w:val="center"/>
          </w:tcPr>
          <w:p>
            <w:pPr>
              <w:widowControl/>
              <w:spacing w:line="0" w:lineRule="atLeast"/>
              <w:jc w:val="center"/>
              <w:rPr>
                <w:rFonts w:ascii="宋体" w:hAnsi="宋体" w:eastAsia="宋体" w:cs="宋体"/>
                <w:b/>
                <w:bCs/>
                <w:color w:val="auto"/>
                <w:kern w:val="0"/>
                <w:sz w:val="22"/>
              </w:rPr>
            </w:pPr>
            <w:r>
              <w:rPr>
                <w:rFonts w:hint="eastAsia" w:ascii="宋体" w:hAnsi="宋体" w:eastAsia="宋体" w:cs="宋体"/>
                <w:b/>
                <w:bCs/>
                <w:color w:val="auto"/>
                <w:kern w:val="0"/>
                <w:sz w:val="22"/>
              </w:rPr>
              <w:t>二级指标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eastAsia="宋体" w:cs="宋体"/>
                <w:b/>
                <w:bCs/>
                <w:color w:val="auto"/>
                <w:kern w:val="0"/>
                <w:sz w:val="22"/>
              </w:rPr>
            </w:pPr>
            <w:r>
              <w:rPr>
                <w:rFonts w:hint="eastAsia" w:ascii="宋体" w:hAnsi="宋体" w:eastAsia="宋体" w:cs="宋体"/>
                <w:b/>
                <w:bCs/>
                <w:color w:val="auto"/>
                <w:kern w:val="0"/>
                <w:sz w:val="22"/>
              </w:rPr>
              <w:t>三级指标</w:t>
            </w:r>
          </w:p>
        </w:tc>
        <w:tc>
          <w:tcPr>
            <w:tcW w:w="3885" w:type="dxa"/>
            <w:tcBorders>
              <w:right w:val="single" w:color="auto" w:sz="4" w:space="0"/>
            </w:tcBorders>
            <w:shd w:val="clear" w:color="auto" w:fill="FFFFFF"/>
          </w:tcPr>
          <w:p>
            <w:pPr>
              <w:widowControl/>
              <w:spacing w:line="600" w:lineRule="auto"/>
              <w:jc w:val="center"/>
              <w:rPr>
                <w:rFonts w:ascii="宋体" w:hAnsi="宋体" w:eastAsia="宋体" w:cs="宋体"/>
                <w:b/>
                <w:bCs/>
                <w:color w:val="auto"/>
                <w:kern w:val="0"/>
                <w:sz w:val="22"/>
              </w:rPr>
            </w:pPr>
            <w:r>
              <w:rPr>
                <w:rFonts w:hint="eastAsia" w:ascii="宋体" w:hAnsi="宋体" w:eastAsia="宋体" w:cs="宋体"/>
                <w:b/>
                <w:bCs/>
                <w:color w:val="auto"/>
                <w:kern w:val="0"/>
                <w:sz w:val="22"/>
              </w:rPr>
              <w:t>指标解释</w:t>
            </w:r>
          </w:p>
        </w:tc>
        <w:tc>
          <w:tcPr>
            <w:tcW w:w="990" w:type="dxa"/>
            <w:tcBorders>
              <w:left w:val="single" w:color="auto" w:sz="4" w:space="0"/>
            </w:tcBorders>
            <w:shd w:val="clear" w:color="auto" w:fill="FFFFFF"/>
          </w:tcPr>
          <w:p>
            <w:pPr>
              <w:widowControl/>
              <w:spacing w:line="600" w:lineRule="auto"/>
              <w:jc w:val="center"/>
              <w:rPr>
                <w:rFonts w:ascii="宋体" w:hAnsi="宋体" w:eastAsia="宋体" w:cs="宋体"/>
                <w:b/>
                <w:bCs/>
                <w:color w:val="auto"/>
                <w:kern w:val="0"/>
                <w:sz w:val="22"/>
              </w:rPr>
            </w:pPr>
            <w:r>
              <w:rPr>
                <w:rFonts w:hint="eastAsia" w:ascii="宋体" w:hAnsi="宋体" w:eastAsia="宋体" w:cs="宋体"/>
                <w:b/>
                <w:bCs/>
                <w:color w:val="auto"/>
                <w:kern w:val="0"/>
                <w:sz w:val="22"/>
              </w:rPr>
              <w:t>分值</w:t>
            </w:r>
          </w:p>
        </w:tc>
        <w:tc>
          <w:tcPr>
            <w:tcW w:w="874" w:type="dxa"/>
            <w:shd w:val="clear" w:color="auto" w:fill="FFFFFF"/>
          </w:tcPr>
          <w:p>
            <w:pPr>
              <w:widowControl/>
              <w:spacing w:line="600" w:lineRule="auto"/>
              <w:jc w:val="center"/>
              <w:rPr>
                <w:rFonts w:ascii="宋体" w:hAnsi="宋体" w:eastAsia="宋体" w:cs="宋体"/>
                <w:b/>
                <w:bCs/>
                <w:color w:val="auto"/>
                <w:kern w:val="0"/>
                <w:sz w:val="22"/>
              </w:rPr>
            </w:pPr>
            <w:r>
              <w:rPr>
                <w:rFonts w:hint="eastAsia" w:ascii="宋体" w:hAnsi="宋体" w:eastAsia="宋体" w:cs="宋体"/>
                <w:b/>
                <w:bCs/>
                <w:color w:val="auto"/>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决策</w:t>
            </w: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项目立项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立项依据</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充分性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项目立项是否符合法律法规、相关政策、发展规划以及部门职责，用以反映和考核项目立项依据情况。</w:t>
            </w:r>
          </w:p>
        </w:tc>
        <w:tc>
          <w:tcPr>
            <w:tcW w:w="990" w:type="dxa"/>
            <w:tcBorders>
              <w:left w:val="single" w:color="auto" w:sz="4" w:space="0"/>
            </w:tcBorders>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5</w:t>
            </w:r>
          </w:p>
        </w:tc>
        <w:tc>
          <w:tcPr>
            <w:tcW w:w="874" w:type="dxa"/>
            <w:tcBorders>
              <w:bottom w:val="single" w:color="auto" w:sz="4" w:space="0"/>
            </w:tcBorders>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立项程序</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规范性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项目申请、设立过程是否符合相关要求，用以反映和考核项目立项的规范情况</w:t>
            </w:r>
          </w:p>
        </w:tc>
        <w:tc>
          <w:tcPr>
            <w:tcW w:w="990" w:type="dxa"/>
            <w:tcBorders>
              <w:left w:val="single" w:color="auto" w:sz="4" w:space="0"/>
            </w:tcBorders>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5</w:t>
            </w:r>
          </w:p>
        </w:tc>
        <w:tc>
          <w:tcPr>
            <w:tcW w:w="874" w:type="dxa"/>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绩效目标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绩效目标</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合理性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5</w:t>
            </w:r>
          </w:p>
        </w:tc>
        <w:tc>
          <w:tcPr>
            <w:tcW w:w="874" w:type="dxa"/>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绩效指标</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明确性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5</w:t>
            </w:r>
          </w:p>
        </w:tc>
        <w:tc>
          <w:tcPr>
            <w:tcW w:w="874" w:type="dxa"/>
            <w:tcBorders>
              <w:bottom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资金投入</w:t>
            </w:r>
          </w:p>
          <w:p>
            <w:pPr>
              <w:spacing w:line="0" w:lineRule="atLeast"/>
              <w:jc w:val="center"/>
              <w:rPr>
                <w:rFonts w:ascii="宋体" w:hAnsi="宋体" w:cs="宋体"/>
                <w:color w:val="auto"/>
                <w:kern w:val="0"/>
                <w:sz w:val="22"/>
              </w:rPr>
            </w:pPr>
            <w:r>
              <w:rPr>
                <w:rFonts w:hint="eastAsia" w:ascii="宋体" w:hAnsi="宋体" w:cs="宋体"/>
                <w:color w:val="auto"/>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预算编制</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科学性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5</w:t>
            </w:r>
          </w:p>
        </w:tc>
        <w:tc>
          <w:tcPr>
            <w:tcW w:w="874" w:type="dxa"/>
            <w:tcBorders>
              <w:bottom w:val="single" w:color="auto" w:sz="4" w:space="0"/>
            </w:tcBorders>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资金分配</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合理性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5</w:t>
            </w:r>
          </w:p>
        </w:tc>
        <w:tc>
          <w:tcPr>
            <w:tcW w:w="874" w:type="dxa"/>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0" w:lineRule="atLeast"/>
              <w:jc w:val="center"/>
              <w:rPr>
                <w:rFonts w:ascii="宋体" w:hAnsi="宋体" w:cs="宋体"/>
                <w:color w:val="auto"/>
                <w:kern w:val="0"/>
                <w:sz w:val="22"/>
              </w:rPr>
            </w:pPr>
            <w:r>
              <w:rPr>
                <w:rFonts w:hint="eastAsia" w:ascii="宋体" w:hAnsi="宋体" w:cs="宋体"/>
                <w:color w:val="auto"/>
                <w:kern w:val="0"/>
                <w:sz w:val="22"/>
              </w:rPr>
              <w:t>过程</w:t>
            </w: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资金到位率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实际到位资金与预算资金的比率，用以反映和考核资金落实情况对项目实施的总体保障程度。</w:t>
            </w:r>
          </w:p>
        </w:tc>
        <w:tc>
          <w:tcPr>
            <w:tcW w:w="990" w:type="dxa"/>
            <w:tcBorders>
              <w:left w:val="single" w:color="auto" w:sz="4" w:space="0"/>
            </w:tcBorders>
            <w:shd w:val="clear" w:color="000000" w:fill="FFFFFF"/>
          </w:tcPr>
          <w:p>
            <w:pPr>
              <w:spacing w:line="600" w:lineRule="auto"/>
              <w:jc w:val="center"/>
              <w:rPr>
                <w:rFonts w:hint="default" w:eastAsia="仿宋_GB2312"/>
                <w:color w:val="auto"/>
                <w:lang w:val="en-US" w:eastAsia="zh-CN"/>
              </w:rPr>
            </w:pPr>
            <w:r>
              <w:rPr>
                <w:rFonts w:hint="eastAsia"/>
                <w:color w:val="auto"/>
                <w:lang w:val="en-US" w:eastAsia="zh-CN"/>
              </w:rPr>
              <w:t>4</w:t>
            </w:r>
          </w:p>
        </w:tc>
        <w:tc>
          <w:tcPr>
            <w:tcW w:w="874" w:type="dxa"/>
            <w:tcBorders>
              <w:bottom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vMerge w:val="continue"/>
            <w:shd w:val="clear" w:color="auto" w:fill="FFFFFF"/>
            <w:vAlign w:val="center"/>
          </w:tcPr>
          <w:p>
            <w:pPr>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预算执行率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项目预算资金是否按照计划执行，用以反映或考核项目预算执行情况</w:t>
            </w:r>
          </w:p>
        </w:tc>
        <w:tc>
          <w:tcPr>
            <w:tcW w:w="990" w:type="dxa"/>
            <w:tcBorders>
              <w:left w:val="single" w:color="auto" w:sz="4" w:space="0"/>
            </w:tcBorders>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4</w:t>
            </w:r>
          </w:p>
        </w:tc>
        <w:tc>
          <w:tcPr>
            <w:tcW w:w="874" w:type="dxa"/>
            <w:tcBorders>
              <w:bottom w:val="single" w:color="auto" w:sz="4" w:space="0"/>
            </w:tcBorders>
            <w:shd w:val="clear" w:color="auto" w:fill="FFFFFF"/>
          </w:tcPr>
          <w:p>
            <w:pPr>
              <w:spacing w:line="600" w:lineRule="auto"/>
              <w:jc w:val="center"/>
              <w:rPr>
                <w:rFonts w:hint="default" w:eastAsia="仿宋_GB2312"/>
                <w:color w:val="auto"/>
                <w:lang w:val="en-US" w:eastAsia="zh-CN"/>
              </w:rPr>
            </w:pPr>
            <w:r>
              <w:rPr>
                <w:rFonts w:hint="eastAsia"/>
                <w:color w:va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资金使用</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合规性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项目资金使用是否符合相关的财务管理制度规定，用以反映和考核项目资金的规范运行情况。</w:t>
            </w:r>
          </w:p>
        </w:tc>
        <w:tc>
          <w:tcPr>
            <w:tcW w:w="990" w:type="dxa"/>
            <w:tcBorders>
              <w:left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4</w:t>
            </w:r>
          </w:p>
        </w:tc>
        <w:tc>
          <w:tcPr>
            <w:tcW w:w="874" w:type="dxa"/>
            <w:tcBorders>
              <w:bottom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组织实施</w:t>
            </w:r>
          </w:p>
          <w:p>
            <w:pPr>
              <w:spacing w:line="0" w:lineRule="atLeast"/>
              <w:jc w:val="center"/>
              <w:rPr>
                <w:rFonts w:ascii="宋体" w:hAnsi="宋体" w:cs="宋体"/>
                <w:color w:val="auto"/>
                <w:kern w:val="0"/>
                <w:sz w:val="22"/>
              </w:rPr>
            </w:pPr>
            <w:r>
              <w:rPr>
                <w:rFonts w:hint="eastAsia" w:ascii="宋体" w:hAnsi="宋体" w:cs="宋体"/>
                <w:color w:val="auto"/>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管理制度</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健全性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4</w:t>
            </w:r>
          </w:p>
        </w:tc>
        <w:tc>
          <w:tcPr>
            <w:tcW w:w="874" w:type="dxa"/>
            <w:tcBorders>
              <w:bottom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制度执行</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有效性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项目实施是否符合相关管理规定，用以反映和考核相关管理制度的有效执行情况。</w:t>
            </w:r>
          </w:p>
        </w:tc>
        <w:tc>
          <w:tcPr>
            <w:tcW w:w="990" w:type="dxa"/>
            <w:tcBorders>
              <w:left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4</w:t>
            </w:r>
          </w:p>
        </w:tc>
        <w:tc>
          <w:tcPr>
            <w:tcW w:w="874" w:type="dxa"/>
            <w:tcBorders>
              <w:bottom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产出</w:t>
            </w:r>
          </w:p>
        </w:tc>
        <w:tc>
          <w:tcPr>
            <w:tcW w:w="1478" w:type="dxa"/>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产出数量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实际完成率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项目实施的实际产出数与计划产出数的比率，用以反映和考核项目产出数量目标的实现程度。</w:t>
            </w:r>
          </w:p>
        </w:tc>
        <w:tc>
          <w:tcPr>
            <w:tcW w:w="990" w:type="dxa"/>
            <w:tcBorders>
              <w:left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9</w:t>
            </w:r>
          </w:p>
        </w:tc>
        <w:tc>
          <w:tcPr>
            <w:tcW w:w="874" w:type="dxa"/>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产出质量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质量达标率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项目完成的质量达标产出数与实际产出数的比率，用以反映和考核项目产出质量目标的实现程度。</w:t>
            </w:r>
          </w:p>
        </w:tc>
        <w:tc>
          <w:tcPr>
            <w:tcW w:w="990" w:type="dxa"/>
            <w:tcBorders>
              <w:left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7</w:t>
            </w:r>
          </w:p>
        </w:tc>
        <w:tc>
          <w:tcPr>
            <w:tcW w:w="874" w:type="dxa"/>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shd w:val="clear" w:color="auto" w:fill="FFFFFF"/>
            <w:vAlign w:val="center"/>
          </w:tcPr>
          <w:p>
            <w:pPr>
              <w:spacing w:line="0" w:lineRule="atLeast"/>
              <w:jc w:val="center"/>
              <w:rPr>
                <w:rFonts w:ascii="宋体" w:hAnsi="宋体" w:cs="宋体"/>
                <w:color w:val="auto"/>
                <w:kern w:val="0"/>
                <w:sz w:val="22"/>
              </w:rPr>
            </w:pPr>
            <w:r>
              <w:rPr>
                <w:rFonts w:hint="eastAsia" w:ascii="宋体" w:hAnsi="宋体" w:cs="宋体"/>
                <w:color w:val="auto"/>
                <w:kern w:val="0"/>
                <w:sz w:val="22"/>
              </w:rPr>
              <w:t>产出时效</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完成及时性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项目实际完成时间与计划完成时间的比较，用以反映和考核项目产出时效目标的实现程度。</w:t>
            </w:r>
          </w:p>
        </w:tc>
        <w:tc>
          <w:tcPr>
            <w:tcW w:w="990" w:type="dxa"/>
            <w:tcBorders>
              <w:left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7</w:t>
            </w:r>
          </w:p>
        </w:tc>
        <w:tc>
          <w:tcPr>
            <w:tcW w:w="874" w:type="dxa"/>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产出成本</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成本节约率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完成项目计划工作目标的实际节约成本与计划成本的比率，用以反映和考核项目的成本节约程度。</w:t>
            </w:r>
          </w:p>
        </w:tc>
        <w:tc>
          <w:tcPr>
            <w:tcW w:w="990" w:type="dxa"/>
            <w:tcBorders>
              <w:left w:val="single" w:color="auto" w:sz="4" w:space="0"/>
            </w:tcBorders>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7</w:t>
            </w:r>
          </w:p>
        </w:tc>
        <w:tc>
          <w:tcPr>
            <w:tcW w:w="874" w:type="dxa"/>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效益　</w:t>
            </w: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项目效益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实施效益</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项目实施所产生的效益。</w:t>
            </w:r>
          </w:p>
        </w:tc>
        <w:tc>
          <w:tcPr>
            <w:tcW w:w="990" w:type="dxa"/>
            <w:tcBorders>
              <w:left w:val="single" w:color="auto" w:sz="4" w:space="0"/>
            </w:tcBorders>
            <w:shd w:val="clear" w:color="auto" w:fill="FFFFFF"/>
          </w:tcPr>
          <w:p>
            <w:pPr>
              <w:spacing w:line="600" w:lineRule="auto"/>
              <w:jc w:val="center"/>
              <w:rPr>
                <w:rFonts w:hint="default" w:eastAsia="仿宋_GB2312"/>
                <w:color w:val="auto"/>
                <w:lang w:val="en-US" w:eastAsia="zh-CN"/>
              </w:rPr>
            </w:pPr>
            <w:r>
              <w:rPr>
                <w:rFonts w:hint="eastAsia"/>
                <w:color w:val="auto"/>
                <w:lang w:val="en-US" w:eastAsia="zh-CN"/>
              </w:rPr>
              <w:t>10</w:t>
            </w:r>
          </w:p>
        </w:tc>
        <w:tc>
          <w:tcPr>
            <w:tcW w:w="874" w:type="dxa"/>
            <w:shd w:val="clear" w:color="auto" w:fill="FFFFFF"/>
          </w:tcPr>
          <w:p>
            <w:pPr>
              <w:spacing w:line="600" w:lineRule="auto"/>
              <w:jc w:val="center"/>
              <w:rPr>
                <w:rFonts w:hint="default" w:eastAsia="仿宋_GB2312"/>
                <w:color w:val="auto"/>
                <w:lang w:val="en-US" w:eastAsia="zh-CN"/>
              </w:rPr>
            </w:pPr>
            <w:r>
              <w:rPr>
                <w:rFonts w:hint="eastAsia"/>
                <w:color w:val="auto"/>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满意度</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社会公众或服务对象对项目实施效果的满意程度。</w:t>
            </w:r>
          </w:p>
        </w:tc>
        <w:tc>
          <w:tcPr>
            <w:tcW w:w="990" w:type="dxa"/>
            <w:tcBorders>
              <w:left w:val="single" w:color="auto" w:sz="4" w:space="0"/>
            </w:tcBorders>
            <w:shd w:val="clear" w:color="000000" w:fill="FFFFFF"/>
          </w:tcPr>
          <w:p>
            <w:pPr>
              <w:spacing w:line="600" w:lineRule="auto"/>
              <w:jc w:val="center"/>
              <w:rPr>
                <w:rFonts w:hint="default" w:eastAsia="仿宋_GB2312"/>
                <w:color w:val="auto"/>
                <w:lang w:val="en-US" w:eastAsia="zh-CN"/>
              </w:rPr>
            </w:pPr>
            <w:r>
              <w:rPr>
                <w:rFonts w:hint="eastAsia"/>
                <w:color w:val="auto"/>
                <w:lang w:val="en-US" w:eastAsia="zh-CN"/>
              </w:rPr>
              <w:t>10</w:t>
            </w:r>
          </w:p>
        </w:tc>
        <w:tc>
          <w:tcPr>
            <w:tcW w:w="874" w:type="dxa"/>
            <w:shd w:val="clear" w:color="000000" w:fill="FFFFFF"/>
          </w:tcPr>
          <w:p>
            <w:pPr>
              <w:spacing w:line="600" w:lineRule="auto"/>
              <w:jc w:val="center"/>
              <w:rPr>
                <w:rFonts w:hint="default" w:eastAsia="仿宋_GB2312"/>
                <w:color w:val="auto"/>
                <w:lang w:val="en-US" w:eastAsia="zh-CN"/>
              </w:rPr>
            </w:pPr>
            <w:r>
              <w:rPr>
                <w:rFonts w:hint="eastAsia"/>
                <w:color w:val="auto"/>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b/>
                <w:bCs/>
                <w:color w:val="auto"/>
                <w:kern w:val="0"/>
                <w:sz w:val="22"/>
              </w:rPr>
              <w:t>总分</w:t>
            </w:r>
          </w:p>
        </w:tc>
        <w:tc>
          <w:tcPr>
            <w:tcW w:w="3885" w:type="dxa"/>
            <w:tcBorders>
              <w:right w:val="single" w:color="auto" w:sz="4" w:space="0"/>
            </w:tcBorders>
            <w:shd w:val="clear" w:color="auto" w:fill="FFFFFF"/>
          </w:tcPr>
          <w:p>
            <w:pPr>
              <w:widowControl/>
              <w:spacing w:line="0" w:lineRule="atLeast"/>
              <w:jc w:val="center"/>
              <w:rPr>
                <w:rFonts w:ascii="宋体" w:hAnsi="宋体" w:cs="宋体"/>
                <w:color w:val="auto"/>
                <w:kern w:val="0"/>
                <w:sz w:val="22"/>
              </w:rPr>
            </w:pPr>
          </w:p>
        </w:tc>
        <w:tc>
          <w:tcPr>
            <w:tcW w:w="990" w:type="dxa"/>
            <w:tcBorders>
              <w:left w:val="single" w:color="auto" w:sz="4" w:space="0"/>
            </w:tcBorders>
            <w:shd w:val="clear" w:color="auto" w:fill="FFFFFF"/>
            <w:vAlign w:val="center"/>
          </w:tcPr>
          <w:p>
            <w:pPr>
              <w:widowControl/>
              <w:spacing w:line="0" w:lineRule="atLeast"/>
              <w:jc w:val="center"/>
              <w:rPr>
                <w:rFonts w:hint="default" w:ascii="宋体" w:hAnsi="宋体" w:eastAsia="仿宋_GB2312" w:cs="宋体"/>
                <w:color w:val="auto"/>
                <w:kern w:val="0"/>
                <w:sz w:val="22"/>
                <w:lang w:val="en-US" w:eastAsia="zh-CN"/>
              </w:rPr>
            </w:pPr>
            <w:r>
              <w:rPr>
                <w:rFonts w:hint="eastAsia" w:ascii="宋体" w:hAnsi="宋体" w:cs="宋体"/>
                <w:color w:val="auto"/>
                <w:kern w:val="0"/>
                <w:sz w:val="22"/>
                <w:lang w:val="en-US" w:eastAsia="zh-CN"/>
              </w:rPr>
              <w:t>100</w:t>
            </w:r>
          </w:p>
        </w:tc>
        <w:tc>
          <w:tcPr>
            <w:tcW w:w="874" w:type="dxa"/>
            <w:shd w:val="clear" w:color="auto" w:fill="FFFFFF"/>
            <w:vAlign w:val="center"/>
          </w:tcPr>
          <w:p>
            <w:pPr>
              <w:widowControl/>
              <w:spacing w:line="0" w:lineRule="atLeast"/>
              <w:jc w:val="center"/>
              <w:rPr>
                <w:rFonts w:hint="default" w:ascii="宋体" w:hAnsi="宋体" w:eastAsia="仿宋_GB2312" w:cs="宋体"/>
                <w:color w:val="auto"/>
                <w:kern w:val="0"/>
                <w:sz w:val="22"/>
                <w:lang w:val="en-US" w:eastAsia="zh-CN"/>
              </w:rPr>
            </w:pPr>
            <w:r>
              <w:rPr>
                <w:rFonts w:hint="eastAsia" w:ascii="宋体" w:hAnsi="宋体" w:cs="宋体"/>
                <w:color w:val="auto"/>
                <w:kern w:val="0"/>
                <w:sz w:val="22"/>
                <w:lang w:val="en-US" w:eastAsia="zh-CN"/>
              </w:rPr>
              <w:t>100</w:t>
            </w:r>
          </w:p>
        </w:tc>
      </w:tr>
    </w:tbl>
    <w:p>
      <w:pPr>
        <w:rPr>
          <w:color w:val="auto"/>
        </w:rPr>
        <w:sectPr>
          <w:pgSz w:w="11906" w:h="16838"/>
          <w:pgMar w:top="1928" w:right="1531" w:bottom="1701" w:left="1531" w:header="737" w:footer="851" w:gutter="0"/>
          <w:cols w:space="720" w:num="1"/>
          <w:docGrid w:type="lines" w:linePitch="408" w:charSpace="0"/>
        </w:sectPr>
      </w:pPr>
    </w:p>
    <w:p>
      <w:pPr>
        <w:spacing w:line="360" w:lineRule="auto"/>
        <w:ind w:firstLine="600" w:firstLineChars="200"/>
        <w:jc w:val="left"/>
        <w:rPr>
          <w:rFonts w:hint="eastAsia"/>
          <w:color w:val="auto"/>
        </w:rPr>
      </w:pPr>
      <w:r>
        <w:rPr>
          <w:rFonts w:hint="eastAsia"/>
          <w:color w:val="auto"/>
        </w:rPr>
        <w:t>3、评价方法</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本次项目支出绩效自评采用</w:t>
      </w:r>
      <w:r>
        <w:rPr>
          <w:rFonts w:hint="default" w:ascii="仿宋_GB2312"/>
          <w:bCs/>
          <w:color w:val="auto"/>
          <w:sz w:val="30"/>
          <w:szCs w:val="30"/>
          <w:lang w:val="en-US" w:eastAsia="zh-CN"/>
        </w:rPr>
        <w:t>比较法、公众评判法</w:t>
      </w:r>
      <w:r>
        <w:rPr>
          <w:rFonts w:hint="eastAsia" w:ascii="仿宋_GB2312"/>
          <w:bCs/>
          <w:color w:val="auto"/>
          <w:sz w:val="30"/>
          <w:szCs w:val="30"/>
          <w:lang w:val="en-US" w:eastAsia="zh-CN"/>
        </w:rPr>
        <w:t>方法，原因是：运用比较法与上年树木种植绿化情况、环境卫生改善状况比较分析，今年取得的成效优于上年，环境卫生改善、树木绿化增加。运用</w:t>
      </w:r>
      <w:r>
        <w:rPr>
          <w:rFonts w:hint="default" w:ascii="仿宋_GB2312"/>
          <w:bCs/>
          <w:color w:val="auto"/>
          <w:sz w:val="30"/>
          <w:szCs w:val="30"/>
          <w:lang w:val="en-US" w:eastAsia="zh-CN"/>
        </w:rPr>
        <w:t>公众评判法</w:t>
      </w:r>
      <w:r>
        <w:rPr>
          <w:rFonts w:hint="eastAsia" w:ascii="仿宋_GB2312"/>
          <w:bCs/>
          <w:color w:val="auto"/>
          <w:sz w:val="30"/>
          <w:szCs w:val="30"/>
          <w:lang w:val="en-US" w:eastAsia="zh-CN"/>
        </w:rPr>
        <w:t>，通过微信问卷星调查群众对项目的满意度。</w:t>
      </w:r>
    </w:p>
    <w:p>
      <w:pPr>
        <w:spacing w:line="360" w:lineRule="auto"/>
        <w:ind w:firstLine="600" w:firstLineChars="200"/>
        <w:jc w:val="left"/>
        <w:rPr>
          <w:rFonts w:hint="eastAsia"/>
          <w:color w:val="auto"/>
        </w:rPr>
      </w:pPr>
      <w:r>
        <w:rPr>
          <w:rFonts w:hint="eastAsia"/>
          <w:color w:val="auto"/>
        </w:rPr>
        <w:t>4</w:t>
      </w:r>
      <w:r>
        <w:rPr>
          <w:rFonts w:hint="eastAsia"/>
          <w:color w:val="auto"/>
          <w:lang w:val="en-US" w:eastAsia="zh-CN"/>
        </w:rPr>
        <w:t>.</w:t>
      </w:r>
      <w:r>
        <w:rPr>
          <w:rFonts w:hint="eastAsia"/>
          <w:color w:val="auto"/>
        </w:rPr>
        <w:t>评价标准</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本次项目支出绩效自评采用计划标准，原因是：该项目绩效目标是通过以预先制定的目标、计划、预算、定额等与项目实施后达到的目标、计划、预算、定额等做对比。</w:t>
      </w:r>
    </w:p>
    <w:p>
      <w:pPr>
        <w:pStyle w:val="6"/>
        <w:spacing w:line="360" w:lineRule="auto"/>
        <w:rPr>
          <w:rFonts w:hint="eastAsia" w:ascii="仿宋_GB2312" w:eastAsia="仿宋_GB2312"/>
          <w:b w:val="0"/>
          <w:bCs w:val="0"/>
          <w:color w:val="auto"/>
        </w:rPr>
      </w:pPr>
      <w:bookmarkStart w:id="6" w:name="_Toc68703833"/>
      <w:r>
        <w:rPr>
          <w:rFonts w:hint="eastAsia" w:ascii="仿宋_GB2312" w:eastAsia="仿宋_GB2312"/>
          <w:b w:val="0"/>
          <w:bCs w:val="0"/>
          <w:color w:val="auto"/>
        </w:rPr>
        <w:t>（三）绩效评价工作过程。</w:t>
      </w:r>
      <w:bookmarkEnd w:id="6"/>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1.前期准备：</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2023年3月17日，</w:t>
      </w:r>
      <w:r>
        <w:rPr>
          <w:rFonts w:hint="eastAsia" w:ascii="仿宋_GB2312"/>
          <w:bCs/>
          <w:color w:val="auto"/>
          <w:sz w:val="30"/>
          <w:szCs w:val="30"/>
          <w:lang w:val="zh-CN" w:eastAsia="zh-CN"/>
        </w:rPr>
        <w:t>开始前期准备工作，评价组通过前期调研</w:t>
      </w:r>
      <w:r>
        <w:rPr>
          <w:rFonts w:hint="eastAsia" w:ascii="仿宋_GB2312"/>
          <w:bCs/>
          <w:color w:val="auto"/>
          <w:sz w:val="30"/>
          <w:szCs w:val="30"/>
          <w:lang w:val="en-US" w:eastAsia="zh-CN"/>
        </w:rPr>
        <w:t>确定绩效评价对象和范围，</w:t>
      </w:r>
      <w:r>
        <w:rPr>
          <w:rFonts w:hint="eastAsia" w:ascii="仿宋_GB2312"/>
          <w:bCs/>
          <w:color w:val="auto"/>
          <w:sz w:val="30"/>
          <w:szCs w:val="30"/>
          <w:lang w:val="zh-CN" w:eastAsia="zh-CN"/>
        </w:rPr>
        <w:t>确定了评价的目的、方法以及评价的原则，根据项目的内容和特征制定了评价指标体系及评价标准以及评价实施方案，修正并确定所需资料清单，最终确定</w:t>
      </w:r>
      <w:r>
        <w:rPr>
          <w:rFonts w:hint="eastAsia" w:ascii="仿宋_GB2312"/>
          <w:bCs/>
          <w:color w:val="auto"/>
          <w:sz w:val="30"/>
          <w:szCs w:val="30"/>
          <w:lang w:val="en-US" w:eastAsia="zh-CN"/>
        </w:rPr>
        <w:t>绩效评价工作方案；</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2.组织实施：</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2023年3月20日，评价工作进入实施阶段，评价组收集绩效评价相关数据资料，进行现场调研、座谈；并与项目实施负责人沟通，了解资金的内容、操作流程、管理机制、资金使用方向等情况，分析形成初步结论。</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3.分析评价：</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2023年3月24日-3月30日，评价组按照绩效评价的原则和规范，对取得的资料进行审查核实，对采集的数据进行分析，按照绩效评价指标评分表逐项进行打分、分析，汇总各方评价结果，综合分析并形成评价结论。</w:t>
      </w:r>
    </w:p>
    <w:p>
      <w:pPr>
        <w:pStyle w:val="5"/>
        <w:spacing w:line="360" w:lineRule="auto"/>
        <w:rPr>
          <w:rFonts w:ascii="宋体" w:hAnsi="宋体" w:eastAsia="宋体"/>
          <w:color w:val="auto"/>
          <w:sz w:val="32"/>
          <w:szCs w:val="32"/>
        </w:rPr>
      </w:pPr>
      <w:bookmarkStart w:id="7" w:name="_Toc68703834"/>
      <w:r>
        <w:rPr>
          <w:rFonts w:hint="eastAsia" w:ascii="宋体" w:hAnsi="宋体" w:eastAsia="宋体"/>
          <w:color w:val="auto"/>
          <w:sz w:val="32"/>
          <w:szCs w:val="32"/>
        </w:rPr>
        <w:t>三、综合评价情况及评价结论</w:t>
      </w:r>
      <w:bookmarkEnd w:id="7"/>
    </w:p>
    <w:p>
      <w:pPr>
        <w:pStyle w:val="6"/>
        <w:spacing w:line="360" w:lineRule="auto"/>
        <w:rPr>
          <w:rFonts w:hint="eastAsia" w:ascii="仿宋_GB2312" w:eastAsia="仿宋_GB2312"/>
          <w:b w:val="0"/>
          <w:bCs w:val="0"/>
          <w:color w:val="auto"/>
        </w:rPr>
      </w:pPr>
      <w:bookmarkStart w:id="8" w:name="_Toc68703835"/>
      <w:r>
        <w:rPr>
          <w:rFonts w:hint="eastAsia" w:ascii="仿宋_GB2312" w:eastAsia="仿宋_GB2312"/>
          <w:b w:val="0"/>
          <w:bCs w:val="0"/>
          <w:color w:val="auto"/>
        </w:rPr>
        <w:t>（一）综合评价情况</w:t>
      </w:r>
      <w:bookmarkEnd w:id="8"/>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本项目严格按照科学公正、统筹兼顾、激励约束、公开透明的绩效评价原则，采用</w:t>
      </w:r>
      <w:r>
        <w:rPr>
          <w:rFonts w:hint="default" w:ascii="仿宋_GB2312"/>
          <w:bCs/>
          <w:color w:val="auto"/>
          <w:sz w:val="30"/>
          <w:szCs w:val="30"/>
          <w:lang w:val="en-US" w:eastAsia="zh-CN"/>
        </w:rPr>
        <w:t>比较法、公众评判法</w:t>
      </w:r>
      <w:r>
        <w:rPr>
          <w:rFonts w:hint="eastAsia" w:ascii="仿宋_GB2312"/>
          <w:bCs/>
          <w:color w:val="auto"/>
          <w:sz w:val="30"/>
          <w:szCs w:val="30"/>
          <w:lang w:val="en-US" w:eastAsia="zh-CN"/>
        </w:rPr>
        <w:t>方法，坚持采用计划标准对本项目的立项、绩效目标、资金投入、资金管理、组织实施、产出数量、产出质量、产出时效、产出成本、项目效益进行了综合评价。</w:t>
      </w:r>
    </w:p>
    <w:p>
      <w:pPr>
        <w:spacing w:line="360" w:lineRule="auto"/>
        <w:ind w:firstLine="600" w:firstLineChars="200"/>
        <w:jc w:val="center"/>
        <w:rPr>
          <w:color w:val="auto"/>
        </w:rPr>
      </w:pPr>
      <w:r>
        <w:rPr>
          <w:rFonts w:hint="eastAsia"/>
          <w:color w:val="auto"/>
          <w:lang w:val="en-US" w:eastAsia="zh-CN"/>
        </w:rPr>
        <w:t>霍城县萨尔布拉克镇环境卫生整治</w:t>
      </w:r>
      <w:r>
        <w:rPr>
          <w:rFonts w:hint="eastAsia"/>
          <w:color w:val="auto"/>
        </w:rPr>
        <w:t>项目评价得分情况</w:t>
      </w:r>
    </w:p>
    <w:tbl>
      <w:tblPr>
        <w:tblStyle w:val="11"/>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auto"/>
                <w:sz w:val="22"/>
              </w:rPr>
            </w:pPr>
            <w:r>
              <w:rPr>
                <w:rFonts w:hint="eastAsia"/>
                <w:b/>
                <w:bCs/>
                <w:color w:val="auto"/>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auto"/>
                <w:sz w:val="22"/>
              </w:rPr>
            </w:pPr>
            <w:r>
              <w:rPr>
                <w:rFonts w:hint="eastAsia"/>
                <w:b/>
                <w:bCs/>
                <w:color w:val="auto"/>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auto"/>
                <w:sz w:val="22"/>
              </w:rPr>
            </w:pPr>
            <w:r>
              <w:rPr>
                <w:rFonts w:hint="eastAsia"/>
                <w:b/>
                <w:bCs/>
                <w:color w:val="auto"/>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auto"/>
                <w:sz w:val="22"/>
              </w:rPr>
            </w:pPr>
            <w:r>
              <w:rPr>
                <w:rFonts w:hint="eastAsia"/>
                <w:color w:val="auto"/>
                <w:sz w:val="22"/>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30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30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auto"/>
                <w:sz w:val="22"/>
              </w:rPr>
            </w:pPr>
            <w:r>
              <w:rPr>
                <w:rFonts w:hint="eastAsia"/>
                <w:color w:val="auto"/>
                <w:sz w:val="22"/>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auto"/>
                <w:sz w:val="22"/>
              </w:rPr>
            </w:pPr>
            <w:r>
              <w:rPr>
                <w:rFonts w:hint="eastAsia"/>
                <w:color w:val="auto"/>
                <w:sz w:val="22"/>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30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30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auto"/>
                <w:sz w:val="22"/>
              </w:rPr>
            </w:pPr>
            <w:r>
              <w:rPr>
                <w:rFonts w:hint="eastAsia"/>
                <w:color w:val="auto"/>
                <w:sz w:val="22"/>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auto"/>
                <w:sz w:val="22"/>
              </w:rPr>
            </w:pPr>
            <w:r>
              <w:rPr>
                <w:rFonts w:hint="eastAsia" w:cs="宋体"/>
                <w:b/>
                <w:bCs/>
                <w:color w:val="auto"/>
                <w:sz w:val="22"/>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auto"/>
                <w:sz w:val="22"/>
                <w:lang w:val="en-US" w:eastAsia="zh-CN"/>
              </w:rPr>
            </w:pPr>
            <w:r>
              <w:rPr>
                <w:rFonts w:hint="eastAsia"/>
                <w:b/>
                <w:bCs/>
                <w:color w:val="auto"/>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auto"/>
                <w:sz w:val="22"/>
                <w:lang w:val="en-US" w:eastAsia="zh-CN"/>
              </w:rPr>
            </w:pPr>
            <w:r>
              <w:rPr>
                <w:rFonts w:hint="eastAsia"/>
                <w:b/>
                <w:bCs/>
                <w:color w:val="auto"/>
                <w:sz w:val="22"/>
                <w:lang w:val="en-US" w:eastAsia="zh-CN"/>
              </w:rPr>
              <w:t>100</w:t>
            </w:r>
          </w:p>
        </w:tc>
      </w:tr>
    </w:tbl>
    <w:p>
      <w:pPr>
        <w:pStyle w:val="6"/>
        <w:spacing w:line="360" w:lineRule="auto"/>
        <w:rPr>
          <w:rFonts w:hint="eastAsia" w:ascii="仿宋_GB2312" w:eastAsia="仿宋_GB2312"/>
          <w:b w:val="0"/>
          <w:bCs w:val="0"/>
          <w:color w:val="auto"/>
        </w:rPr>
      </w:pPr>
      <w:bookmarkStart w:id="9" w:name="_Toc68703836"/>
      <w:r>
        <w:rPr>
          <w:rFonts w:hint="eastAsia" w:ascii="仿宋_GB2312" w:eastAsia="仿宋_GB2312"/>
          <w:b w:val="0"/>
          <w:bCs w:val="0"/>
          <w:color w:val="auto"/>
        </w:rPr>
        <w:t>（二）评价结论</w:t>
      </w:r>
      <w:bookmarkEnd w:id="9"/>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本项目的项目决策、项目过程、项目产出、项目效益均达到了预期要求，最终评分为100分，评价等级为“优”，项目达成年度指标。</w:t>
      </w:r>
    </w:p>
    <w:p>
      <w:pPr>
        <w:pStyle w:val="5"/>
        <w:spacing w:line="360" w:lineRule="auto"/>
        <w:rPr>
          <w:rFonts w:ascii="宋体" w:hAnsi="宋体" w:eastAsia="宋体"/>
          <w:color w:val="auto"/>
          <w:sz w:val="32"/>
          <w:szCs w:val="32"/>
        </w:rPr>
      </w:pPr>
      <w:bookmarkStart w:id="10" w:name="_Toc68703837"/>
      <w:r>
        <w:rPr>
          <w:rFonts w:hint="eastAsia" w:ascii="宋体" w:hAnsi="宋体" w:eastAsia="宋体"/>
          <w:color w:val="auto"/>
          <w:sz w:val="32"/>
          <w:szCs w:val="32"/>
        </w:rPr>
        <w:t>四、绩效评价指标分析</w:t>
      </w:r>
      <w:bookmarkEnd w:id="10"/>
    </w:p>
    <w:p>
      <w:pPr>
        <w:pStyle w:val="6"/>
        <w:spacing w:line="360" w:lineRule="auto"/>
        <w:rPr>
          <w:rFonts w:hint="eastAsia" w:ascii="仿宋_GB2312" w:eastAsia="仿宋_GB2312"/>
          <w:b w:val="0"/>
          <w:bCs w:val="0"/>
          <w:color w:val="auto"/>
        </w:rPr>
      </w:pPr>
      <w:bookmarkStart w:id="11" w:name="_Toc68703838"/>
      <w:r>
        <w:rPr>
          <w:rFonts w:hint="eastAsia" w:ascii="仿宋_GB2312" w:eastAsia="仿宋_GB2312"/>
          <w:b w:val="0"/>
          <w:bCs w:val="0"/>
          <w:color w:val="auto"/>
        </w:rPr>
        <w:t>（一）项目决策情况。</w:t>
      </w:r>
      <w:bookmarkEnd w:id="11"/>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1.立项依据充分性</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霍城县萨尔布拉克镇环境卫生整治项目立项依据根据《萨尔布拉克镇2022年度工作计划》文件精神，全力做好萨尔布拉克镇环境卫生整治工作，通过项目实施改善城乡面貌，实现镇区美化、绿化、和谐整洁；项目立项符合行业发展规划和政策要求；项目立项与部门职责范围相符，属于部门履职所需；项目属于公共财政支持范围，符合中央、地方事权支出责任划分原则；项目不与相关部门同类项目或部门内部相关项目重复。</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2.立项程序规范性</w:t>
      </w:r>
    </w:p>
    <w:p>
      <w:pPr>
        <w:spacing w:line="360" w:lineRule="auto"/>
        <w:ind w:firstLine="600" w:firstLineChars="200"/>
        <w:jc w:val="left"/>
        <w:rPr>
          <w:rFonts w:hint="default" w:ascii="仿宋_GB2312"/>
          <w:bCs/>
          <w:color w:val="auto"/>
          <w:sz w:val="30"/>
          <w:szCs w:val="30"/>
          <w:lang w:val="en-US" w:eastAsia="zh-CN"/>
        </w:rPr>
      </w:pPr>
      <w:r>
        <w:rPr>
          <w:rFonts w:hint="eastAsia" w:ascii="仿宋_GB2312"/>
          <w:bCs/>
          <w:color w:val="auto"/>
          <w:sz w:val="30"/>
          <w:szCs w:val="30"/>
          <w:lang w:val="en-US" w:eastAsia="zh-CN"/>
        </w:rPr>
        <w:t>霍城县萨尔布拉克镇环境卫生整治项目由镇党委联席会议集体商议讨论决定。镇项目办负责项目方案的制定，项目资金测算、项目计划书编制、项目检查、项目验收、绩效评价等工作。镇财政所负责项目资金拨付、资金管理等工作。镇纪检办负责项目督查工作。该项目确定后树苗和爬山虎通过线下询价进行，垃圾桶通过政府采购云平台进行采购。</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3.绩效目标合理性</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霍城县萨尔布拉克镇环境卫生整治项目设立了项目绩效目标，与萨尔布拉克镇环境卫生整治工作具有相关性，项目的预期产出效益和效果也均能符合正常的业绩水平，并且与预算确定的项目投资额或资金量相匹配。</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4.绩效指标明确性</w:t>
      </w:r>
    </w:p>
    <w:p>
      <w:pPr>
        <w:spacing w:line="360" w:lineRule="auto"/>
        <w:ind w:firstLine="600" w:firstLineChars="200"/>
        <w:jc w:val="left"/>
        <w:rPr>
          <w:rFonts w:hint="eastAsia" w:ascii="仿宋_GB2312"/>
          <w:bCs/>
          <w:color w:val="auto"/>
          <w:sz w:val="30"/>
          <w:szCs w:val="30"/>
          <w:lang w:val="en-US" w:eastAsia="zh-CN"/>
        </w:rPr>
      </w:pPr>
      <w:bookmarkStart w:id="12" w:name="_Hlk68699917"/>
      <w:r>
        <w:rPr>
          <w:rFonts w:hint="eastAsia" w:ascii="仿宋_GB2312"/>
          <w:bCs/>
          <w:color w:val="auto"/>
          <w:sz w:val="30"/>
          <w:szCs w:val="30"/>
          <w:lang w:val="en-US" w:eastAsia="zh-CN"/>
        </w:rPr>
        <w:t>霍城县萨尔布拉克镇环境卫生整治项目将项目绩效目标细化分解为具体的绩效指标，一级指标共3条，二级指标共7条，三级指标共17条，其中量化指标条数共15条，所有绩效指标均通过清晰、可衡量的指标值予以体现，并且做到了与项目目标任务数或计划数相对应。</w:t>
      </w:r>
      <w:bookmarkEnd w:id="12"/>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5.预算编制科学性</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我单位严格按照财政部门预算编制与预算调整的工作要求，在预算编制、分配依据充分的条件下，切实做好“先定目标再编预算”，确保预算分配结果合理；预算确定的项目投资额或资金量与工作任务相匹配。</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6.资金分配合理性</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我单位按照财政要求基本支出分月度申报资金使用计划，由财政部门按照进度每月按期拨付，人员支出按照工资计划发放工资；依照《霍城县萨尔布拉克镇人民政府财务支出》相关规定和《霍城县萨尔布拉克镇人民政府财务收入》规定流程，资金支出按照我部门内控体系中设定的流程申报审批进行；项目支出属于政府采购的，按照《霍城县采购与招标管理办法》组织人员制定采购计划，按照财政局采购部门批复，进行公开招标、邀请招标等方式进行；属于非政府采购的项目，按照“三重一大”制度规定，重大项目支出上党组会研究决定。</w:t>
      </w:r>
    </w:p>
    <w:p>
      <w:pPr>
        <w:pStyle w:val="6"/>
        <w:spacing w:line="360" w:lineRule="auto"/>
        <w:rPr>
          <w:rFonts w:hint="eastAsia" w:ascii="仿宋_GB2312" w:eastAsia="仿宋_GB2312"/>
          <w:b w:val="0"/>
          <w:bCs w:val="0"/>
          <w:color w:val="auto"/>
        </w:rPr>
      </w:pPr>
      <w:bookmarkStart w:id="13" w:name="_Toc68703839"/>
      <w:r>
        <w:rPr>
          <w:rFonts w:hint="eastAsia" w:ascii="仿宋_GB2312" w:eastAsia="仿宋_GB2312"/>
          <w:b w:val="0"/>
          <w:bCs w:val="0"/>
          <w:color w:val="auto"/>
        </w:rPr>
        <w:t>（二）项目过程情况。</w:t>
      </w:r>
      <w:bookmarkEnd w:id="13"/>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1.资金到位率：</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预算资金50.00万元，实际到位资金50.00万元，资金到位率100.00%。</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2.预算执行率</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年初预算数50.00万元，全年预算数50.00万元，全年执行数50.00万元，预算执行率为100%。</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3.资金使用合规性</w:t>
      </w:r>
    </w:p>
    <w:p>
      <w:pPr>
        <w:spacing w:line="360" w:lineRule="auto"/>
        <w:ind w:firstLine="600" w:firstLineChars="200"/>
        <w:jc w:val="left"/>
        <w:rPr>
          <w:rFonts w:hint="default" w:ascii="仿宋_GB2312"/>
          <w:bCs/>
          <w:color w:val="auto"/>
          <w:sz w:val="30"/>
          <w:szCs w:val="30"/>
          <w:lang w:val="en-US" w:eastAsia="zh-CN"/>
        </w:rPr>
      </w:pPr>
      <w:r>
        <w:rPr>
          <w:rFonts w:hint="eastAsia" w:ascii="仿宋_GB2312"/>
          <w:bCs/>
          <w:color w:val="auto"/>
          <w:sz w:val="30"/>
          <w:szCs w:val="30"/>
          <w:lang w:val="en-US" w:eastAsia="zh-CN"/>
        </w:rPr>
        <w:t>霍城县萨尔布拉克镇环境卫生整治项目资金的拨付严格履行《萨尔布拉克镇财务支出管理制度》，资金转款专用。拨付中由项目办干事初审，分管项目负责人签署意见，财政所所长审核，分管财务领导签批，审批流程完善。2022年支付霍城县萨尔布拉克镇环境卫生整治项目资金支付凭证合规，由国库直接支付至施工方，不存在不合规票据支付，不存在资金截留、挤占、挪用、虚列支出等情况。</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4.管理制度健全性</w:t>
      </w:r>
    </w:p>
    <w:p>
      <w:pPr>
        <w:spacing w:line="360" w:lineRule="auto"/>
        <w:ind w:firstLine="600" w:firstLineChars="200"/>
        <w:jc w:val="left"/>
        <w:rPr>
          <w:rFonts w:hint="default" w:ascii="仿宋_GB2312"/>
          <w:bCs/>
          <w:color w:val="auto"/>
          <w:sz w:val="30"/>
          <w:szCs w:val="30"/>
          <w:lang w:val="en-US" w:eastAsia="zh-CN"/>
        </w:rPr>
      </w:pPr>
      <w:r>
        <w:rPr>
          <w:rFonts w:hint="eastAsia" w:ascii="仿宋_GB2312"/>
          <w:bCs/>
          <w:color w:val="auto"/>
          <w:sz w:val="30"/>
          <w:szCs w:val="30"/>
          <w:lang w:val="en-US" w:eastAsia="zh-CN"/>
        </w:rPr>
        <w:t>霍城县萨尔布拉克镇环境卫生整治项目实施过程中，严格执行《萨尔布拉克镇财务支出管理制度》，通过管理制度进行了明确的职责划分，严格执行项目申报、竣工验收、监督检查、资金管理等相关制度。</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5.制度执行有效性</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霍城县萨尔布拉克镇环境卫生整治项目是通过线下询价和政采云平台购买来实现的，项目完工后，由镇项目干事、镇纪检干事、镇财政所干事和施工方一起验收，验收合格后在验收单在签字。按照《萨尔布拉克镇项目管理制度》规定，项目干事按时收集整理项目档案，由分管领导审核后装订成册，妥善保管。</w:t>
      </w:r>
    </w:p>
    <w:p>
      <w:pPr>
        <w:pStyle w:val="6"/>
        <w:spacing w:line="360" w:lineRule="auto"/>
        <w:rPr>
          <w:rFonts w:hint="eastAsia" w:ascii="仿宋_GB2312" w:eastAsia="仿宋_GB2312"/>
          <w:b w:val="0"/>
          <w:bCs w:val="0"/>
          <w:color w:val="auto"/>
        </w:rPr>
      </w:pPr>
      <w:bookmarkStart w:id="14" w:name="_Toc68703840"/>
      <w:r>
        <w:rPr>
          <w:rFonts w:hint="eastAsia" w:ascii="仿宋_GB2312" w:eastAsia="仿宋_GB2312"/>
          <w:b w:val="0"/>
          <w:bCs w:val="0"/>
          <w:color w:val="auto"/>
        </w:rPr>
        <w:t>（三）项目产出情况。</w:t>
      </w:r>
      <w:bookmarkEnd w:id="14"/>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1.数量指标：指标1：种植树木，指标值：≥15000颗，实际完成值：15000颗，指标完成率100%；指标2：种植爬山虎，指标值：≥20000个，实际完成值：20000个，指标完成率100%；指标3：购置垃圾箱个数，指标值：≥80个，实际完成值：80个，指标完成率100%；指标4：发放环卫工人工资人数，指标值：=8人，实际完成值：8人，指标完成率100%。</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2.质量指标：指标1：苗木验收合格率，指标值：≥95%，实际完成值：95%，指标完成率100%；指标2：垃圾箱验收合格率，指标值：≥95%，实际完成值：95%，指标完成率100%；指标3：政府采购率，指标值：≥95%，实际完成值：95%，指标完成率100%。</w:t>
      </w:r>
    </w:p>
    <w:p>
      <w:pPr>
        <w:spacing w:line="360" w:lineRule="auto"/>
        <w:ind w:firstLine="600" w:firstLineChars="200"/>
        <w:jc w:val="left"/>
        <w:rPr>
          <w:rFonts w:hint="default" w:ascii="仿宋_GB2312"/>
          <w:bCs/>
          <w:color w:val="auto"/>
          <w:sz w:val="30"/>
          <w:szCs w:val="30"/>
          <w:lang w:val="en-US" w:eastAsia="zh-CN"/>
        </w:rPr>
      </w:pPr>
      <w:r>
        <w:rPr>
          <w:rFonts w:hint="eastAsia" w:ascii="仿宋_GB2312"/>
          <w:bCs/>
          <w:color w:val="auto"/>
          <w:sz w:val="30"/>
          <w:szCs w:val="30"/>
          <w:lang w:val="en-US" w:eastAsia="zh-CN"/>
        </w:rPr>
        <w:t>3.成本指标：指标1：种植树木投入资金，指标值：=26.4万元，实际完成值：26.4万元，指标完成率100%；指标2：种植爬山虎投入资金，指标值：=2万元，实际完成值：2万元，指标完成率100%；指标3：购置垃圾箱投入资金，指标值：=300元/个，实际完成值：300元/个，指标完成率100%；指标4：环卫工人工资投入资金，指标值：=19.2万元，实际完成值：19.2万元，指标完成率100%。</w:t>
      </w:r>
    </w:p>
    <w:p>
      <w:pPr>
        <w:spacing w:line="360" w:lineRule="auto"/>
        <w:ind w:firstLine="600" w:firstLineChars="200"/>
        <w:jc w:val="left"/>
        <w:rPr>
          <w:rFonts w:hint="default" w:ascii="仿宋_GB2312"/>
          <w:bCs/>
          <w:color w:val="auto"/>
          <w:sz w:val="30"/>
          <w:szCs w:val="30"/>
          <w:lang w:val="en-US" w:eastAsia="zh-CN"/>
        </w:rPr>
      </w:pPr>
      <w:r>
        <w:rPr>
          <w:rFonts w:hint="eastAsia" w:ascii="仿宋_GB2312"/>
          <w:bCs/>
          <w:color w:val="auto"/>
          <w:sz w:val="30"/>
          <w:szCs w:val="30"/>
          <w:lang w:val="en-US" w:eastAsia="zh-CN"/>
        </w:rPr>
        <w:t>4.时效指标：指标1：苗木采购完成及时率，指标值：≥95%，实际完成值：95%，指标完成率100%；指标2：垃圾箱采购完成及时率，指标值：≥95%，实际完成值：95%，指标完成率100%；指标3：环卫工人工资发放及时率，指标值：≥95%，实际完成值：95%，指标完成率100%。</w:t>
      </w:r>
    </w:p>
    <w:p>
      <w:pPr>
        <w:pStyle w:val="6"/>
        <w:spacing w:line="360" w:lineRule="auto"/>
        <w:rPr>
          <w:rFonts w:hint="eastAsia" w:ascii="仿宋_GB2312" w:eastAsia="仿宋_GB2312"/>
          <w:b w:val="0"/>
          <w:bCs w:val="0"/>
          <w:color w:val="auto"/>
        </w:rPr>
      </w:pPr>
      <w:bookmarkStart w:id="15" w:name="_Toc68703841"/>
      <w:r>
        <w:rPr>
          <w:rFonts w:hint="eastAsia" w:ascii="仿宋_GB2312" w:eastAsia="仿宋_GB2312"/>
          <w:b w:val="0"/>
          <w:bCs w:val="0"/>
          <w:color w:val="auto"/>
        </w:rPr>
        <w:t>（四）项目效益情况。</w:t>
      </w:r>
      <w:bookmarkEnd w:id="15"/>
    </w:p>
    <w:p>
      <w:pPr>
        <w:spacing w:line="360" w:lineRule="auto"/>
        <w:ind w:firstLine="600" w:firstLineChars="200"/>
        <w:jc w:val="left"/>
        <w:rPr>
          <w:rFonts w:hint="default" w:ascii="仿宋_GB2312"/>
          <w:bCs/>
          <w:color w:val="auto"/>
          <w:sz w:val="30"/>
          <w:szCs w:val="30"/>
          <w:lang w:val="en-US" w:eastAsia="zh-CN"/>
        </w:rPr>
      </w:pPr>
      <w:r>
        <w:rPr>
          <w:rFonts w:hint="eastAsia" w:ascii="仿宋_GB2312"/>
          <w:bCs/>
          <w:color w:val="auto"/>
          <w:sz w:val="30"/>
          <w:szCs w:val="30"/>
          <w:lang w:val="en-US" w:eastAsia="zh-CN"/>
        </w:rPr>
        <w:t>1.社会效益指标：指标1：提升乡镇环境卫生管理水平，指标值：显著提升，实际完成值：显著提升，指标完成率100%。</w:t>
      </w:r>
    </w:p>
    <w:p>
      <w:pPr>
        <w:spacing w:line="360" w:lineRule="auto"/>
        <w:ind w:firstLine="600" w:firstLineChars="200"/>
        <w:jc w:val="left"/>
        <w:rPr>
          <w:rFonts w:hint="default" w:ascii="仿宋_GB2312"/>
          <w:bCs/>
          <w:color w:val="auto"/>
          <w:sz w:val="30"/>
          <w:szCs w:val="30"/>
          <w:lang w:val="en-US" w:eastAsia="zh-CN"/>
        </w:rPr>
      </w:pPr>
      <w:r>
        <w:rPr>
          <w:rFonts w:hint="eastAsia" w:ascii="仿宋_GB2312"/>
          <w:bCs/>
          <w:color w:val="auto"/>
          <w:sz w:val="30"/>
          <w:szCs w:val="30"/>
          <w:lang w:val="en-US" w:eastAsia="zh-CN"/>
        </w:rPr>
        <w:t>2.生态效益指标：指标1：改善人居环境，指标值：有效改善，实际完成值：有效改善，指标完成率100%。</w:t>
      </w:r>
    </w:p>
    <w:p>
      <w:pPr>
        <w:spacing w:line="360" w:lineRule="auto"/>
        <w:ind w:firstLine="600" w:firstLineChars="200"/>
        <w:jc w:val="left"/>
        <w:rPr>
          <w:rFonts w:hint="default" w:ascii="仿宋_GB2312"/>
          <w:bCs/>
          <w:color w:val="auto"/>
          <w:sz w:val="30"/>
          <w:szCs w:val="30"/>
          <w:lang w:val="en-US" w:eastAsia="zh-CN"/>
        </w:rPr>
      </w:pPr>
      <w:r>
        <w:rPr>
          <w:rFonts w:hint="eastAsia" w:ascii="仿宋_GB2312"/>
          <w:bCs/>
          <w:color w:val="auto"/>
          <w:sz w:val="30"/>
          <w:szCs w:val="30"/>
          <w:lang w:val="en-US" w:eastAsia="zh-CN"/>
        </w:rPr>
        <w:t>3.满意度指标：指标1：镇区群众满意度，指标值：≥90%，实际完成值：90%，指标完成率100%。</w:t>
      </w:r>
    </w:p>
    <w:p>
      <w:pPr>
        <w:pStyle w:val="5"/>
        <w:spacing w:line="360" w:lineRule="auto"/>
        <w:rPr>
          <w:rFonts w:ascii="宋体" w:hAnsi="宋体" w:eastAsia="宋体"/>
          <w:color w:val="auto"/>
          <w:sz w:val="32"/>
          <w:szCs w:val="32"/>
        </w:rPr>
      </w:pPr>
      <w:bookmarkStart w:id="16" w:name="_Toc68703842"/>
      <w:r>
        <w:rPr>
          <w:rFonts w:hint="eastAsia" w:ascii="宋体" w:hAnsi="宋体" w:eastAsia="宋体"/>
          <w:color w:val="auto"/>
          <w:sz w:val="32"/>
          <w:szCs w:val="32"/>
        </w:rPr>
        <w:t>五、主要经验及做法、存在的问题及原因分析</w:t>
      </w:r>
      <w:bookmarkEnd w:id="16"/>
    </w:p>
    <w:p>
      <w:pPr>
        <w:pStyle w:val="6"/>
        <w:spacing w:line="360" w:lineRule="auto"/>
        <w:rPr>
          <w:rFonts w:hint="eastAsia" w:ascii="仿宋_GB2312" w:eastAsia="仿宋_GB2312"/>
          <w:b w:val="0"/>
          <w:bCs w:val="0"/>
          <w:color w:val="auto"/>
        </w:rPr>
      </w:pPr>
      <w:bookmarkStart w:id="17" w:name="_Toc68703843"/>
      <w:r>
        <w:rPr>
          <w:rFonts w:hint="eastAsia" w:ascii="仿宋_GB2312" w:eastAsia="仿宋_GB2312"/>
          <w:b w:val="0"/>
          <w:bCs w:val="0"/>
          <w:color w:val="auto"/>
        </w:rPr>
        <w:t>（一）主要经验及做法</w:t>
      </w:r>
      <w:bookmarkEnd w:id="17"/>
    </w:p>
    <w:p>
      <w:pPr>
        <w:spacing w:line="360" w:lineRule="auto"/>
        <w:ind w:firstLine="600" w:firstLineChars="200"/>
        <w:jc w:val="left"/>
        <w:rPr>
          <w:rFonts w:hint="default" w:ascii="仿宋_GB2312"/>
          <w:bCs/>
          <w:color w:val="auto"/>
          <w:sz w:val="30"/>
          <w:szCs w:val="30"/>
          <w:lang w:val="en-US" w:eastAsia="zh-CN"/>
        </w:rPr>
      </w:pPr>
      <w:r>
        <w:rPr>
          <w:rFonts w:hint="eastAsia" w:ascii="仿宋_GB2312"/>
          <w:bCs/>
          <w:color w:val="auto"/>
          <w:sz w:val="30"/>
          <w:szCs w:val="30"/>
          <w:lang w:val="en-US" w:eastAsia="zh-CN"/>
        </w:rPr>
        <w:t>加强预算资金管理，提高预算资金使用效率，同时严格项目档案的管理，督促项目能按时完成，确保资金按照项目施工进度及时支付。</w:t>
      </w:r>
    </w:p>
    <w:p>
      <w:pPr>
        <w:pStyle w:val="6"/>
        <w:spacing w:line="360" w:lineRule="auto"/>
        <w:rPr>
          <w:rFonts w:hint="eastAsia" w:ascii="仿宋_GB2312" w:eastAsia="仿宋_GB2312"/>
          <w:b w:val="0"/>
          <w:bCs w:val="0"/>
          <w:color w:val="auto"/>
        </w:rPr>
      </w:pPr>
      <w:bookmarkStart w:id="18" w:name="_Toc68703844"/>
      <w:r>
        <w:rPr>
          <w:rFonts w:hint="eastAsia" w:ascii="仿宋_GB2312" w:eastAsia="仿宋_GB2312"/>
          <w:b w:val="0"/>
          <w:bCs w:val="0"/>
          <w:color w:val="auto"/>
        </w:rPr>
        <w:t>（二）存在的问题及原因分析</w:t>
      </w:r>
      <w:bookmarkEnd w:id="18"/>
    </w:p>
    <w:p>
      <w:pPr>
        <w:spacing w:line="360" w:lineRule="auto"/>
        <w:ind w:firstLine="600" w:firstLineChars="200"/>
        <w:jc w:val="left"/>
        <w:rPr>
          <w:rFonts w:hint="default" w:ascii="仿宋_GB2312"/>
          <w:bCs/>
          <w:color w:val="auto"/>
          <w:sz w:val="30"/>
          <w:szCs w:val="30"/>
          <w:lang w:val="en-US" w:eastAsia="zh-CN"/>
        </w:rPr>
      </w:pPr>
      <w:r>
        <w:rPr>
          <w:rFonts w:hint="eastAsia" w:ascii="仿宋_GB2312"/>
          <w:bCs/>
          <w:color w:val="auto"/>
          <w:sz w:val="30"/>
          <w:szCs w:val="30"/>
          <w:lang w:val="en-US" w:eastAsia="zh-CN"/>
        </w:rPr>
        <w:t>一是对绩效目标申报不够重视，绩效目标设置量化程度进一步提高。</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二是工作人员绩效观念模糊，绩效管理水平有待于提高。</w:t>
      </w:r>
    </w:p>
    <w:p>
      <w:pPr>
        <w:spacing w:line="360" w:lineRule="auto"/>
        <w:ind w:firstLine="600" w:firstLineChars="200"/>
        <w:jc w:val="left"/>
        <w:rPr>
          <w:rFonts w:hint="default" w:ascii="宋体" w:hAnsi="宋体" w:eastAsia="宋体" w:cs="Times New Roman"/>
          <w:b/>
          <w:bCs/>
          <w:color w:val="auto"/>
          <w:kern w:val="44"/>
          <w:sz w:val="32"/>
          <w:szCs w:val="32"/>
          <w:lang w:val="en-US" w:eastAsia="zh-CN" w:bidi="ar-SA"/>
        </w:rPr>
      </w:pPr>
      <w:r>
        <w:rPr>
          <w:rFonts w:hint="eastAsia" w:ascii="仿宋_GB2312"/>
          <w:bCs/>
          <w:color w:val="auto"/>
          <w:sz w:val="30"/>
          <w:szCs w:val="30"/>
          <w:lang w:val="en-US" w:eastAsia="zh-CN"/>
        </w:rPr>
        <w:t>三是财政支出绩效管理工作还有待进一步提高。</w:t>
      </w:r>
      <w:r>
        <w:rPr>
          <w:rFonts w:hint="eastAsia" w:ascii="仿宋_GB2312"/>
          <w:bCs/>
          <w:color w:val="auto"/>
          <w:sz w:val="30"/>
          <w:szCs w:val="30"/>
          <w:lang w:val="en-US" w:eastAsia="zh-CN"/>
        </w:rPr>
        <w:br w:type="textWrapping"/>
      </w:r>
      <w:bookmarkStart w:id="19" w:name="_Toc68703845"/>
      <w:r>
        <w:rPr>
          <w:rFonts w:hint="eastAsia" w:ascii="宋体" w:hAnsi="宋体" w:eastAsia="宋体" w:cs="Times New Roman"/>
          <w:b/>
          <w:bCs/>
          <w:color w:val="auto"/>
          <w:kern w:val="44"/>
          <w:sz w:val="32"/>
          <w:szCs w:val="32"/>
          <w:lang w:val="en-US" w:eastAsia="zh-CN" w:bidi="ar-SA"/>
        </w:rPr>
        <w:t>六、有关建议</w:t>
      </w:r>
      <w:bookmarkEnd w:id="19"/>
    </w:p>
    <w:p>
      <w:pPr>
        <w:spacing w:line="360" w:lineRule="auto"/>
        <w:ind w:firstLine="600" w:firstLineChars="200"/>
        <w:jc w:val="left"/>
        <w:rPr>
          <w:rFonts w:hint="default" w:ascii="仿宋_GB2312"/>
          <w:bCs/>
          <w:color w:val="auto"/>
          <w:sz w:val="30"/>
          <w:szCs w:val="30"/>
          <w:lang w:val="en-US" w:eastAsia="zh-CN"/>
        </w:rPr>
      </w:pPr>
      <w:r>
        <w:rPr>
          <w:rFonts w:hint="eastAsia" w:ascii="仿宋_GB2312"/>
          <w:bCs/>
          <w:color w:val="auto"/>
          <w:sz w:val="30"/>
          <w:szCs w:val="30"/>
          <w:lang w:val="en-US" w:eastAsia="zh-CN"/>
        </w:rPr>
        <w:t>1.项目实施前加大群众需求调研，以提高项目和群众需求的契合度。</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2.组织业务培训,提高业务人员的业务能力。</w:t>
      </w:r>
    </w:p>
    <w:p>
      <w:pPr>
        <w:pStyle w:val="5"/>
        <w:spacing w:line="360" w:lineRule="auto"/>
        <w:rPr>
          <w:rFonts w:hint="eastAsia" w:ascii="宋体" w:hAnsi="宋体" w:eastAsia="宋体" w:cs="Times New Roman"/>
          <w:b/>
          <w:bCs/>
          <w:color w:val="auto"/>
          <w:kern w:val="44"/>
          <w:sz w:val="32"/>
          <w:szCs w:val="32"/>
          <w:lang w:val="en-US" w:eastAsia="zh-CN" w:bidi="ar-SA"/>
        </w:rPr>
      </w:pPr>
      <w:bookmarkStart w:id="20" w:name="_Toc68703846"/>
      <w:r>
        <w:rPr>
          <w:rFonts w:hint="eastAsia" w:ascii="宋体" w:hAnsi="宋体" w:eastAsia="宋体" w:cs="Times New Roman"/>
          <w:b/>
          <w:bCs/>
          <w:color w:val="auto"/>
          <w:kern w:val="44"/>
          <w:sz w:val="32"/>
          <w:szCs w:val="32"/>
          <w:lang w:val="en-US" w:eastAsia="zh-CN" w:bidi="ar-SA"/>
        </w:rPr>
        <w:t>七、其他需要说明的问题</w:t>
      </w:r>
      <w:bookmarkEnd w:id="20"/>
    </w:p>
    <w:p>
      <w:pPr>
        <w:spacing w:line="360" w:lineRule="auto"/>
        <w:rPr>
          <w:rFonts w:hint="eastAsia" w:eastAsia="仿宋_GB2312"/>
          <w:color w:val="auto"/>
          <w:lang w:eastAsia="zh-CN"/>
        </w:rPr>
      </w:pPr>
      <w:r>
        <w:rPr>
          <w:rFonts w:hint="eastAsia"/>
          <w:color w:val="auto"/>
          <w:lang w:val="en-US" w:eastAsia="zh-CN"/>
        </w:rPr>
        <w:t>无。</w:t>
      </w:r>
    </w:p>
    <w:p>
      <w:pPr>
        <w:rPr>
          <w:color w:val="auto"/>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红豆小标宋简体">
    <w:altName w:val="宋体"/>
    <w:panose1 w:val="02000509000000000000"/>
    <w:charset w:val="86"/>
    <w:family w:val="auto"/>
    <w:pitch w:val="default"/>
    <w:sig w:usb0="00000000" w:usb1="00000000" w:usb2="00000012"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3MGI3OGI4NzQyYWM5ZDdiMDU1ODIxY2ExM2FjOTcifQ=="/>
  </w:docVars>
  <w:rsids>
    <w:rsidRoot w:val="007D49C5"/>
    <w:rsid w:val="000D63FA"/>
    <w:rsid w:val="002A03A0"/>
    <w:rsid w:val="005B64E8"/>
    <w:rsid w:val="00614288"/>
    <w:rsid w:val="00792CFE"/>
    <w:rsid w:val="007D49C5"/>
    <w:rsid w:val="008175E0"/>
    <w:rsid w:val="008C631D"/>
    <w:rsid w:val="00A114ED"/>
    <w:rsid w:val="00B24331"/>
    <w:rsid w:val="062C481D"/>
    <w:rsid w:val="098D1753"/>
    <w:rsid w:val="0C8716C9"/>
    <w:rsid w:val="0E1B178F"/>
    <w:rsid w:val="0F2A6BF7"/>
    <w:rsid w:val="0FE70C0A"/>
    <w:rsid w:val="10C95E42"/>
    <w:rsid w:val="1CAC2997"/>
    <w:rsid w:val="25A83209"/>
    <w:rsid w:val="2A68632C"/>
    <w:rsid w:val="2F875470"/>
    <w:rsid w:val="33086C59"/>
    <w:rsid w:val="344147CC"/>
    <w:rsid w:val="36B72533"/>
    <w:rsid w:val="38D15494"/>
    <w:rsid w:val="4057649F"/>
    <w:rsid w:val="40DA3629"/>
    <w:rsid w:val="449917EF"/>
    <w:rsid w:val="454F24B4"/>
    <w:rsid w:val="48790E7B"/>
    <w:rsid w:val="498D63EC"/>
    <w:rsid w:val="4C0276AB"/>
    <w:rsid w:val="51E411B3"/>
    <w:rsid w:val="53AE1414"/>
    <w:rsid w:val="56796849"/>
    <w:rsid w:val="5C6739B4"/>
    <w:rsid w:val="5DA95371"/>
    <w:rsid w:val="5F583F3F"/>
    <w:rsid w:val="62C30FE9"/>
    <w:rsid w:val="63AA3AD3"/>
    <w:rsid w:val="64346872"/>
    <w:rsid w:val="681E0BBB"/>
    <w:rsid w:val="6A8C68C8"/>
    <w:rsid w:val="776668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qFormat="1" w:unhideWhenUsed="0" w:uiPriority="0" w:semiHidden="0"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5">
    <w:name w:val="heading 1"/>
    <w:basedOn w:val="1"/>
    <w:next w:val="1"/>
    <w:link w:val="14"/>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1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spacing w:before="100" w:beforeAutospacing="1"/>
      <w:ind w:left="0" w:firstLine="420" w:firstLineChars="200"/>
    </w:pPr>
    <w:rPr>
      <w:rFonts w:ascii="Times New Roman" w:hAnsi="Times New Roman"/>
    </w:rPr>
  </w:style>
  <w:style w:type="paragraph" w:styleId="3">
    <w:name w:val="Body Text Indent"/>
    <w:basedOn w:val="1"/>
    <w:next w:val="4"/>
    <w:qFormat/>
    <w:uiPriority w:val="0"/>
    <w:pPr>
      <w:spacing w:after="120"/>
      <w:ind w:left="420" w:leftChars="200"/>
    </w:pPr>
  </w:style>
  <w:style w:type="paragraph" w:styleId="4">
    <w:name w:val="index 6"/>
    <w:basedOn w:val="1"/>
    <w:next w:val="1"/>
    <w:qFormat/>
    <w:uiPriority w:val="0"/>
    <w:pPr>
      <w:tabs>
        <w:tab w:val="left" w:pos="665"/>
        <w:tab w:val="center" w:pos="4473"/>
      </w:tabs>
      <w:ind w:left="1000" w:leftChars="1000"/>
    </w:pPr>
  </w:style>
  <w:style w:type="paragraph" w:styleId="7">
    <w:name w:val="footer"/>
    <w:basedOn w:val="1"/>
    <w:link w:val="18"/>
    <w:semiHidden/>
    <w:unhideWhenUsed/>
    <w:qFormat/>
    <w:uiPriority w:val="99"/>
    <w:pPr>
      <w:tabs>
        <w:tab w:val="center" w:pos="4153"/>
        <w:tab w:val="right" w:pos="8306"/>
      </w:tabs>
      <w:snapToGrid w:val="0"/>
      <w:jc w:val="left"/>
    </w:pPr>
    <w:rPr>
      <w:sz w:val="18"/>
      <w:szCs w:val="18"/>
    </w:rPr>
  </w:style>
  <w:style w:type="paragraph" w:styleId="8">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0">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3">
    <w:name w:val="Hyperlink"/>
    <w:basedOn w:val="12"/>
    <w:unhideWhenUsed/>
    <w:qFormat/>
    <w:uiPriority w:val="99"/>
    <w:rPr>
      <w:color w:val="0563C1" w:themeColor="hyperlink"/>
      <w:u w:val="single"/>
    </w:rPr>
  </w:style>
  <w:style w:type="character" w:customStyle="1" w:styleId="14">
    <w:name w:val="标题 1 Char"/>
    <w:basedOn w:val="12"/>
    <w:link w:val="5"/>
    <w:qFormat/>
    <w:uiPriority w:val="9"/>
    <w:rPr>
      <w:rFonts w:ascii="Times New Roman" w:hAnsi="Times New Roman" w:eastAsia="仿宋_GB2312" w:cs="Times New Roman"/>
      <w:b/>
      <w:bCs/>
      <w:kern w:val="44"/>
      <w:sz w:val="44"/>
      <w:szCs w:val="44"/>
    </w:rPr>
  </w:style>
  <w:style w:type="character" w:customStyle="1" w:styleId="15">
    <w:name w:val="标题 2 Char"/>
    <w:basedOn w:val="12"/>
    <w:link w:val="6"/>
    <w:qFormat/>
    <w:uiPriority w:val="9"/>
    <w:rPr>
      <w:rFonts w:asciiTheme="majorHAnsi" w:hAnsiTheme="majorHAnsi" w:eastAsiaTheme="majorEastAsia" w:cstheme="majorBidi"/>
      <w:b/>
      <w:bCs/>
      <w:sz w:val="32"/>
      <w:szCs w:val="32"/>
    </w:rPr>
  </w:style>
  <w:style w:type="paragraph" w:customStyle="1" w:styleId="16">
    <w:name w:val="TOC Heading"/>
    <w:basedOn w:val="5"/>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496" w:themeColor="accent1" w:themeShade="BF"/>
      <w:kern w:val="0"/>
      <w:sz w:val="32"/>
      <w:szCs w:val="32"/>
    </w:rPr>
  </w:style>
  <w:style w:type="character" w:customStyle="1" w:styleId="17">
    <w:name w:val="页眉 Char"/>
    <w:basedOn w:val="12"/>
    <w:link w:val="8"/>
    <w:semiHidden/>
    <w:qFormat/>
    <w:uiPriority w:val="99"/>
    <w:rPr>
      <w:rFonts w:ascii="Times New Roman" w:hAnsi="Times New Roman" w:eastAsia="仿宋_GB2312" w:cs="Times New Roman"/>
      <w:sz w:val="18"/>
      <w:szCs w:val="18"/>
    </w:rPr>
  </w:style>
  <w:style w:type="character" w:customStyle="1" w:styleId="18">
    <w:name w:val="页脚 Char"/>
    <w:basedOn w:val="12"/>
    <w:link w:val="7"/>
    <w:semiHidden/>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5831</Words>
  <Characters>6155</Characters>
  <Lines>37</Lines>
  <Paragraphs>10</Paragraphs>
  <TotalTime>4</TotalTime>
  <ScaleCrop>false</ScaleCrop>
  <LinksUpToDate>false</LinksUpToDate>
  <CharactersWithSpaces>6166</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Lenovo</cp:lastModifiedBy>
  <dcterms:modified xsi:type="dcterms:W3CDTF">2023-09-06T05:01:45Z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B9AB8A83979B471396960E4CDDDDB367</vt:lpwstr>
  </property>
</Properties>
</file>