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0" w:name="_GoBack"/>
      <w:bookmarkEnd w:id="20"/>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宋体"/>
          <w:kern w:val="0"/>
          <w:sz w:val="32"/>
          <w:szCs w:val="32"/>
          <w:lang w:eastAsia="zh-CN"/>
        </w:rPr>
        <w:t>残疾人事业发展补助资金专项经费</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宋体"/>
          <w:kern w:val="0"/>
          <w:sz w:val="32"/>
          <w:szCs w:val="32"/>
          <w:lang w:eastAsia="zh-CN"/>
        </w:rPr>
        <w:t>霍城县残疾人联合会</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宋体"/>
          <w:kern w:val="0"/>
          <w:sz w:val="32"/>
          <w:szCs w:val="32"/>
          <w:lang w:eastAsia="zh-CN"/>
        </w:rPr>
        <w:t>霍城县残疾人联合会</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宋体"/>
          <w:kern w:val="0"/>
          <w:sz w:val="32"/>
          <w:szCs w:val="32"/>
          <w:lang w:eastAsia="zh-CN"/>
        </w:rPr>
        <w:t>毛常青</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16</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仿宋_GB2312"/>
          <w:szCs w:val="30"/>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6"/>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7"/>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hAnsi="Times New Roman" w:cs="Times New Roman"/>
        </w:rPr>
      </w:pPr>
      <w:r>
        <w:rPr>
          <w:rFonts w:hint="eastAsia" w:ascii="仿宋_GB2312"/>
        </w:rPr>
        <w:t>1</w:t>
      </w:r>
      <w:r>
        <w:rPr>
          <w:rFonts w:hint="eastAsia" w:ascii="仿宋_GB2312"/>
          <w:lang w:val="en-US" w:eastAsia="zh-CN"/>
        </w:rPr>
        <w:t>.</w:t>
      </w:r>
      <w:r>
        <w:rPr>
          <w:rFonts w:hint="eastAsia" w:ascii="仿宋_GB2312"/>
        </w:rPr>
        <w:t>项目</w:t>
      </w:r>
      <w:r>
        <w:rPr>
          <w:rFonts w:hint="eastAsia" w:ascii="仿宋_GB2312" w:hAnsi="Times New Roman" w:cs="Times New Roman"/>
        </w:rPr>
        <w:t>背景</w:t>
      </w:r>
    </w:p>
    <w:p>
      <w:pPr>
        <w:spacing w:line="360" w:lineRule="auto"/>
        <w:ind w:firstLine="600" w:firstLineChars="200"/>
        <w:rPr>
          <w:rFonts w:hint="eastAsia" w:ascii="仿宋_GB2312"/>
        </w:rPr>
      </w:pPr>
      <w:r>
        <w:rPr>
          <w:rFonts w:hint="eastAsia" w:ascii="仿宋_GB2312" w:hAnsi="Times New Roman" w:cs="Times New Roman"/>
          <w:lang w:eastAsia="zh-CN"/>
        </w:rPr>
        <w:t>霍城县残联根据《关于提前下达自治区财政残疾人事业发展补助资金的通知》（伊州财社〔20</w:t>
      </w:r>
      <w:r>
        <w:rPr>
          <w:rFonts w:hint="eastAsia" w:ascii="仿宋_GB2312" w:hAnsi="Times New Roman" w:cs="Times New Roman"/>
          <w:lang w:val="en-US" w:eastAsia="zh-CN"/>
        </w:rPr>
        <w:t>22</w:t>
      </w:r>
      <w:r>
        <w:rPr>
          <w:rFonts w:hint="eastAsia" w:ascii="仿宋_GB2312" w:hAnsi="Times New Roman" w:cs="Times New Roman"/>
          <w:lang w:eastAsia="zh-CN"/>
        </w:rPr>
        <w:t>〕</w:t>
      </w:r>
      <w:r>
        <w:rPr>
          <w:rFonts w:hint="eastAsia" w:ascii="仿宋_GB2312" w:hAnsi="Times New Roman" w:cs="Times New Roman"/>
          <w:lang w:val="en-US" w:eastAsia="zh-CN"/>
        </w:rPr>
        <w:t>1</w:t>
      </w:r>
      <w:r>
        <w:rPr>
          <w:rFonts w:hint="eastAsia" w:ascii="仿宋_GB2312" w:hAnsi="Times New Roman" w:cs="Times New Roman"/>
          <w:lang w:eastAsia="zh-CN"/>
        </w:rPr>
        <w:t>号）文件精神，全面支持落实好残疾人就业、医疗康复、社会保障等方面的扶持政策，健全残疾人权益保障制度和扶残助残服务体系，提升残疾人基本公共服务保障水平。为进一步支持残疾人事业发展，落实残疾人各项惠民政策。</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eastAsia" w:ascii="仿宋_GB2312"/>
          <w:color w:val="FF0000"/>
        </w:rPr>
      </w:pPr>
      <w:r>
        <w:rPr>
          <w:rFonts w:hint="eastAsia" w:ascii="仿宋_GB2312"/>
        </w:rPr>
        <w:t>主要内容：</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通过开展残疾人基本康复服务工作，为经济困难的视力、听力、肢体、智力、精神残疾人提供基本康复服务。为0-6岁的残疾儿童提供康复救助，努力提高受助残疾人生活自理和社会活动参与能力。</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建立扶残助学长效机制，保障家庭经济困难残疾学生和残疾人家庭子女顺利完成学业。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cs="Times New Roman"/>
          <w:sz w:val="32"/>
          <w:szCs w:val="32"/>
          <w:lang w:val="en-US" w:eastAsia="zh-CN"/>
        </w:rPr>
        <w:t>3）</w:t>
      </w:r>
      <w:r>
        <w:rPr>
          <w:rFonts w:hint="eastAsia" w:ascii="仿宋_GB2312" w:hAnsi="Times New Roman" w:eastAsia="仿宋_GB2312" w:cs="Times New Roman"/>
          <w:sz w:val="32"/>
          <w:szCs w:val="32"/>
          <w:lang w:val="en-US" w:eastAsia="zh-CN"/>
        </w:rPr>
        <w:t>为困难残疾人家庭实施无障碍改造，包括地面平整及坡化、低位灶台（盲人家庭灶台有煤气泄漏报警装置）、房门改造、坐便器改造、安装卫生间热水器、扶手或抓杆（洗手池扶手、坐便器扶手、沐椅扶手）浴凳及改善残疾人家居卫生条件的其他设施等无障碍设施改造。</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w:t>
      </w:r>
      <w:r>
        <w:rPr>
          <w:rFonts w:hint="eastAsia" w:ascii="仿宋_GB2312" w:cs="Times New Roman"/>
          <w:sz w:val="32"/>
          <w:szCs w:val="32"/>
          <w:lang w:val="en-US" w:eastAsia="zh-CN"/>
        </w:rPr>
        <w:t>)</w:t>
      </w:r>
      <w:r>
        <w:rPr>
          <w:rFonts w:hint="eastAsia" w:ascii="仿宋_GB2312" w:hAnsi="Times New Roman" w:eastAsia="仿宋_GB2312" w:cs="Times New Roman"/>
          <w:sz w:val="32"/>
          <w:szCs w:val="32"/>
          <w:lang w:val="en-US" w:eastAsia="zh-CN"/>
        </w:rPr>
        <w:t xml:space="preserve">通过“阳光家园计划”项目年度工作的实施，帮助残疾人得到寄宿制托养和日间照料。 </w:t>
      </w: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pPr>
      <w:r>
        <w:rPr>
          <w:rFonts w:hint="eastAsia" w:ascii="仿宋_GB2312"/>
          <w:color w:val="auto"/>
        </w:rPr>
        <w:t>实施情况：</w:t>
      </w:r>
      <w:r>
        <w:rPr>
          <w:rFonts w:hint="eastAsia"/>
          <w:color w:val="auto"/>
        </w:rPr>
        <w:t>202</w:t>
      </w:r>
      <w:r>
        <w:rPr>
          <w:rFonts w:hint="eastAsia"/>
          <w:color w:val="auto"/>
          <w:lang w:val="en-US" w:eastAsia="zh-CN"/>
        </w:rPr>
        <w:t>2</w:t>
      </w:r>
      <w:r>
        <w:rPr>
          <w:rFonts w:hint="eastAsia"/>
          <w:color w:val="auto"/>
        </w:rPr>
        <w:t>年，为推进残疾人事业工作，维护残疾人权益，为残疾人服务，残疾人事业发展补助资金</w:t>
      </w:r>
      <w:r>
        <w:rPr>
          <w:rFonts w:hint="eastAsia"/>
          <w:color w:val="auto"/>
          <w:lang w:val="en-US" w:eastAsia="zh-CN"/>
        </w:rPr>
        <w:t>53.45</w:t>
      </w:r>
      <w:r>
        <w:rPr>
          <w:rFonts w:hint="eastAsia"/>
          <w:color w:val="auto"/>
        </w:rPr>
        <w:t>万元</w:t>
      </w:r>
      <w:r>
        <w:rPr>
          <w:rFonts w:hint="eastAsia"/>
          <w:color w:val="auto"/>
          <w:lang w:eastAsia="zh-CN"/>
        </w:rPr>
        <w:t>（属于</w:t>
      </w:r>
      <w:r>
        <w:rPr>
          <w:rFonts w:hint="eastAsia"/>
          <w:color w:val="auto"/>
        </w:rPr>
        <w:t>自治区直达资金</w:t>
      </w:r>
      <w:r>
        <w:rPr>
          <w:rFonts w:hint="eastAsia"/>
          <w:color w:val="auto"/>
          <w:lang w:eastAsia="zh-CN"/>
        </w:rPr>
        <w:t>），</w:t>
      </w:r>
      <w:r>
        <w:rPr>
          <w:rFonts w:hint="eastAsia"/>
          <w:color w:val="auto"/>
        </w:rPr>
        <w:t>完成以下目标任务：通过开展残疾人基本康复服务工作，为经济困难的视力、听力、肢体、智力、精神残疾人提供基本康复服务。为0-6岁的残疾儿童提供康复救助，努力提高受助残疾人生活自理和社会活动参与能力</w:t>
      </w:r>
      <w:r>
        <w:rPr>
          <w:rFonts w:hint="eastAsia"/>
          <w:color w:val="auto"/>
          <w:lang w:eastAsia="zh-CN"/>
        </w:rPr>
        <w:t>；</w:t>
      </w:r>
      <w:r>
        <w:rPr>
          <w:rFonts w:hint="eastAsia"/>
          <w:color w:val="auto"/>
        </w:rPr>
        <w:t>建立扶残助学长效机制，保障家庭经济困难残疾学生和残疾人家庭子女顺利完成学业</w:t>
      </w:r>
      <w:r>
        <w:rPr>
          <w:rFonts w:hint="eastAsia"/>
          <w:color w:val="auto"/>
          <w:lang w:eastAsia="zh-CN"/>
        </w:rPr>
        <w:t>；</w:t>
      </w:r>
      <w:r>
        <w:rPr>
          <w:rFonts w:hint="eastAsia"/>
          <w:color w:val="auto"/>
        </w:rPr>
        <w:t>为困难残疾人家庭实施无障碍改造，包括地面平整及坡化、低位灶台（盲人家庭灶台有煤气泄漏报警装置）、房门改造、坐便器改造、安装卫生间热水器、扶手或抓杆（洗手池扶手、坐便器扶手、沐椅扶手）浴凳及改善残疾人家居卫生条件的其他设施等无障碍设施改造</w:t>
      </w:r>
      <w:r>
        <w:rPr>
          <w:rFonts w:hint="eastAsia"/>
          <w:color w:val="auto"/>
          <w:lang w:eastAsia="zh-CN"/>
        </w:rPr>
        <w:t>；</w:t>
      </w:r>
      <w:r>
        <w:rPr>
          <w:rFonts w:hint="eastAsia"/>
          <w:color w:val="auto"/>
        </w:rPr>
        <w:t>通过“阳光家园计划”项目年度工作的实施，帮助残疾人得到寄宿制托养和日间照料</w:t>
      </w:r>
      <w:r>
        <w:rPr>
          <w:rFonts w:hint="eastAsia" w:ascii="仿宋_GB2312" w:hAnsi="Times New Roman" w:cs="Times New Roman"/>
          <w:b w:val="0"/>
          <w:bCs w:val="0"/>
          <w:color w:val="auto"/>
          <w:lang w:val="en-US" w:eastAsia="zh-CN"/>
        </w:rPr>
        <w:t xml:space="preserve">。   </w:t>
      </w:r>
      <w:r>
        <w:rPr>
          <w:rFonts w:hint="eastAsia" w:ascii="仿宋_GB2312" w:hAnsi="Times New Roman" w:cs="Times New Roman"/>
          <w:b w:val="0"/>
          <w:bCs w:val="0"/>
          <w:lang w:val="en-US" w:eastAsia="zh-CN"/>
        </w:rPr>
        <w:t xml:space="preserve">                                   </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0</w:t>
      </w:r>
      <w:r>
        <w:rPr>
          <w:rFonts w:hint="eastAsia"/>
          <w:color w:val="auto"/>
        </w:rPr>
        <w:t>万元，年中追加资金</w:t>
      </w:r>
      <w:r>
        <w:rPr>
          <w:rFonts w:hint="eastAsia"/>
          <w:color w:val="auto"/>
          <w:lang w:val="en-US" w:eastAsia="zh-CN"/>
        </w:rPr>
        <w:t>53.45</w:t>
      </w:r>
      <w:r>
        <w:rPr>
          <w:rFonts w:hint="eastAsia"/>
          <w:color w:val="auto"/>
        </w:rPr>
        <w:t>万元</w:t>
      </w:r>
      <w:r>
        <w:rPr>
          <w:rFonts w:hint="eastAsia"/>
          <w:color w:val="auto"/>
          <w:lang w:eastAsia="zh-CN"/>
        </w:rPr>
        <w:t>，</w:t>
      </w:r>
      <w:r>
        <w:rPr>
          <w:rFonts w:hint="eastAsia"/>
          <w:color w:val="auto"/>
        </w:rPr>
        <w:t>全年预算数</w:t>
      </w:r>
      <w:r>
        <w:rPr>
          <w:rFonts w:hint="eastAsia"/>
          <w:color w:val="auto"/>
          <w:lang w:val="en-US" w:eastAsia="zh-CN"/>
        </w:rPr>
        <w:t>53.45</w:t>
      </w:r>
      <w:r>
        <w:rPr>
          <w:rFonts w:hint="eastAsia"/>
          <w:color w:val="auto"/>
        </w:rPr>
        <w:t>万元，实际总投入</w:t>
      </w:r>
      <w:r>
        <w:rPr>
          <w:rFonts w:hint="eastAsia"/>
          <w:color w:val="auto"/>
          <w:lang w:val="en-US" w:eastAsia="zh-CN"/>
        </w:rPr>
        <w:t>53.45</w:t>
      </w:r>
      <w:r>
        <w:rPr>
          <w:rFonts w:hint="eastAsia"/>
          <w:color w:val="auto"/>
        </w:rPr>
        <w:t>万元，该项目资金已全部落实到位，资金来源为</w:t>
      </w:r>
      <w:r>
        <w:rPr>
          <w:rFonts w:hint="eastAsia"/>
          <w:color w:val="auto"/>
          <w:lang w:eastAsia="zh-CN"/>
        </w:rPr>
        <w:t>财政拨款</w:t>
      </w:r>
      <w:r>
        <w:rPr>
          <w:rFonts w:hint="eastAsia"/>
          <w:color w:val="auto"/>
        </w:rPr>
        <w:t>。</w:t>
      </w:r>
    </w:p>
    <w:p>
      <w:pPr>
        <w:spacing w:line="360" w:lineRule="auto"/>
        <w:ind w:firstLine="600" w:firstLineChars="200"/>
        <w:rPr>
          <w:color w:val="auto"/>
        </w:rPr>
      </w:pPr>
      <w:r>
        <w:rPr>
          <w:rFonts w:hint="eastAsia"/>
        </w:rPr>
        <w:t>资金使用情</w:t>
      </w:r>
      <w:r>
        <w:rPr>
          <w:rFonts w:hint="eastAsia"/>
          <w:color w:val="auto"/>
        </w:rPr>
        <w:t>况：该项目年初预算数</w:t>
      </w:r>
      <w:r>
        <w:rPr>
          <w:rFonts w:hint="eastAsia"/>
          <w:color w:val="auto"/>
          <w:lang w:val="en-US" w:eastAsia="zh-CN"/>
        </w:rPr>
        <w:t>0</w:t>
      </w:r>
      <w:r>
        <w:rPr>
          <w:rFonts w:hint="eastAsia"/>
          <w:color w:val="auto"/>
        </w:rPr>
        <w:t>万元，年中追加资金</w:t>
      </w:r>
      <w:r>
        <w:rPr>
          <w:rFonts w:hint="eastAsia"/>
          <w:color w:val="auto"/>
          <w:lang w:val="en-US" w:eastAsia="zh-CN"/>
        </w:rPr>
        <w:t>53.45</w:t>
      </w:r>
      <w:r>
        <w:rPr>
          <w:rFonts w:hint="eastAsia"/>
          <w:color w:val="auto"/>
        </w:rPr>
        <w:t>万元</w:t>
      </w:r>
      <w:r>
        <w:rPr>
          <w:rFonts w:hint="eastAsia"/>
          <w:color w:val="auto"/>
          <w:lang w:eastAsia="zh-CN"/>
        </w:rPr>
        <w:t>，</w:t>
      </w:r>
      <w:r>
        <w:rPr>
          <w:rFonts w:hint="eastAsia"/>
          <w:color w:val="auto"/>
        </w:rPr>
        <w:t>全年预算数</w:t>
      </w:r>
      <w:r>
        <w:rPr>
          <w:rFonts w:hint="eastAsia"/>
          <w:color w:val="auto"/>
          <w:lang w:val="en-US" w:eastAsia="zh-CN"/>
        </w:rPr>
        <w:t>53.45</w:t>
      </w:r>
      <w:r>
        <w:rPr>
          <w:rFonts w:hint="eastAsia"/>
          <w:color w:val="auto"/>
        </w:rPr>
        <w:t>万元，全年执行数</w:t>
      </w:r>
      <w:r>
        <w:rPr>
          <w:rFonts w:hint="eastAsia"/>
          <w:color w:val="auto"/>
          <w:lang w:val="en-US" w:eastAsia="zh-CN"/>
        </w:rPr>
        <w:t>53.45</w:t>
      </w:r>
      <w:r>
        <w:rPr>
          <w:rFonts w:hint="eastAsia"/>
          <w:color w:val="auto"/>
        </w:rPr>
        <w:t>万元，预算执行率为</w:t>
      </w:r>
      <w:r>
        <w:rPr>
          <w:rFonts w:hint="eastAsia"/>
          <w:color w:val="auto"/>
          <w:lang w:val="en-US" w:eastAsia="zh-CN"/>
        </w:rPr>
        <w:t>100</w:t>
      </w:r>
      <w:r>
        <w:rPr>
          <w:rFonts w:hint="eastAsia"/>
          <w:color w:val="auto"/>
        </w:rPr>
        <w:t>%，用于：</w:t>
      </w:r>
      <w:r>
        <w:rPr>
          <w:rFonts w:hint="eastAsia" w:ascii="仿宋_GB2312" w:hAnsi="Times New Roman" w:cs="Times New Roman"/>
          <w:lang w:eastAsia="zh-CN"/>
        </w:rPr>
        <w:t>残疾人事业发展补助资金</w:t>
      </w:r>
      <w:r>
        <w:rPr>
          <w:rFonts w:hint="eastAsia"/>
          <w:color w:val="auto"/>
          <w:lang w:val="en-US" w:eastAsia="zh-CN"/>
        </w:rPr>
        <w:t>53.45</w:t>
      </w:r>
      <w:r>
        <w:rPr>
          <w:rFonts w:hint="eastAsia"/>
          <w:color w:val="auto"/>
        </w:rPr>
        <w:t>万元。</w:t>
      </w:r>
    </w:p>
    <w:p>
      <w:pPr>
        <w:pStyle w:val="7"/>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eastAsia="仿宋_GB2312"/>
          <w:color w:val="auto"/>
          <w:lang w:eastAsia="zh-CN"/>
        </w:rPr>
      </w:pPr>
      <w:r>
        <w:rPr>
          <w:rFonts w:hint="eastAsia"/>
        </w:rPr>
        <w:t>1</w:t>
      </w:r>
      <w:r>
        <w:rPr>
          <w:rFonts w:hint="eastAsia"/>
          <w:lang w:val="en-US" w:eastAsia="zh-CN"/>
        </w:rPr>
        <w:t>.</w:t>
      </w:r>
      <w:r>
        <w:rPr>
          <w:rFonts w:hint="eastAsia"/>
        </w:rPr>
        <w:t>总体目标：</w:t>
      </w:r>
      <w:r>
        <w:rPr>
          <w:rFonts w:hint="eastAsia"/>
          <w:color w:val="auto"/>
        </w:rPr>
        <w:t>202</w:t>
      </w:r>
      <w:r>
        <w:rPr>
          <w:rFonts w:hint="eastAsia"/>
          <w:color w:val="auto"/>
          <w:lang w:val="en-US" w:eastAsia="zh-CN"/>
        </w:rPr>
        <w:t>2</w:t>
      </w:r>
      <w:r>
        <w:rPr>
          <w:rFonts w:hint="eastAsia"/>
          <w:color w:val="auto"/>
        </w:rPr>
        <w:t>年，为推进残疾人事业工作，维护残疾人权益，为残疾人服务，残疾人事业发展补助资金</w:t>
      </w:r>
      <w:r>
        <w:rPr>
          <w:rFonts w:hint="eastAsia"/>
          <w:color w:val="auto"/>
          <w:lang w:val="en-US" w:eastAsia="zh-CN"/>
        </w:rPr>
        <w:t>53.45</w:t>
      </w:r>
      <w:r>
        <w:rPr>
          <w:rFonts w:hint="eastAsia"/>
          <w:color w:val="auto"/>
        </w:rPr>
        <w:t>万元</w:t>
      </w:r>
      <w:r>
        <w:rPr>
          <w:rFonts w:hint="eastAsia"/>
          <w:color w:val="auto"/>
          <w:lang w:eastAsia="zh-CN"/>
        </w:rPr>
        <w:t>（属于</w:t>
      </w:r>
      <w:r>
        <w:rPr>
          <w:rFonts w:hint="eastAsia"/>
          <w:color w:val="auto"/>
        </w:rPr>
        <w:t>自治区直达资金</w:t>
      </w:r>
      <w:r>
        <w:rPr>
          <w:rFonts w:hint="eastAsia"/>
          <w:color w:val="auto"/>
          <w:lang w:eastAsia="zh-CN"/>
        </w:rPr>
        <w:t>），</w:t>
      </w:r>
      <w:r>
        <w:rPr>
          <w:rFonts w:hint="eastAsia"/>
          <w:color w:val="auto"/>
        </w:rPr>
        <w:t xml:space="preserve">完成以下目标任务：目标1：通过开展残疾人基本康复服务工作，为经济困难的视力、听力、肢体、智力、精神残疾人提供基本康复服务。为0-6岁的残疾儿童提供康复救助，努力提高受助残疾人生活自理和社会活动参与能力。目标2：建立扶残助学长效机制，保障家庭经济困难残疾学生和残疾人家庭子女顺利完成学业。                                                                          目标3：为困难残疾人家庭实施无障碍改造，包括地面平整及坡化、低位灶台（盲人家庭灶台有煤气泄漏报警装置）、房门改造、坐便器改造、安装卫生间热水器、扶手或抓杆（洗手池扶手、坐便器扶手、沐椅扶手）浴凳及改善残疾人家居卫生条件的其他设施等无障碍设施改造。目标4:通过“阳光家园计划”项目年度工作的实施，帮助残疾人得到寄宿制托养和日间照料。       </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00" w:firstLineChars="200"/>
        <w:jc w:val="both"/>
        <w:textAlignment w:val="auto"/>
        <w:rPr>
          <w:rFonts w:hint="eastAsia"/>
        </w:rPr>
      </w:pPr>
      <w:r>
        <w:t>2</w:t>
      </w:r>
      <w:r>
        <w:rPr>
          <w:rFonts w:hint="eastAsia"/>
          <w:lang w:val="en-US" w:eastAsia="zh-CN"/>
        </w:rPr>
        <w:t>.</w:t>
      </w:r>
      <w:r>
        <w:rPr>
          <w:rFonts w:hint="eastAsia"/>
        </w:rPr>
        <w:t>阶段性目标：</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（一）残疾人康复事业进一步发展。</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rPr>
          <w:rFonts w:hint="eastAsia" w:ascii="仿宋" w:hAnsi="仿宋" w:eastAsia="仿宋" w:cs="仿宋"/>
          <w:color w:val="auto"/>
          <w:sz w:val="32"/>
          <w:szCs w:val="32"/>
          <w:lang w:eastAsia="zh-CN"/>
        </w:rPr>
      </w:pPr>
      <w:r>
        <w:rPr>
          <w:rFonts w:hint="eastAsia" w:ascii="仿宋" w:hAnsi="仿宋" w:eastAsia="仿宋" w:cs="仿宋"/>
          <w:b/>
          <w:bCs/>
          <w:i w:val="0"/>
          <w:caps w:val="0"/>
          <w:color w:val="000000"/>
          <w:spacing w:val="0"/>
          <w:sz w:val="32"/>
          <w:szCs w:val="32"/>
          <w:lang w:val="en-US" w:eastAsia="zh-CN"/>
        </w:rPr>
        <w:t>1.残疾人康复中心专业康复作用有效发挥。</w:t>
      </w:r>
      <w:r>
        <w:rPr>
          <w:rFonts w:hint="eastAsia" w:ascii="仿宋" w:hAnsi="仿宋" w:eastAsia="仿宋" w:cs="仿宋"/>
          <w:color w:val="auto"/>
          <w:sz w:val="32"/>
          <w:szCs w:val="32"/>
          <w:lang w:val="en-US" w:eastAsia="zh-CN"/>
        </w:rPr>
        <w:t>县残疾人康复中心现配有专业康复技师9人，</w:t>
      </w:r>
      <w:r>
        <w:rPr>
          <w:rFonts w:hint="eastAsia" w:ascii="仿宋" w:hAnsi="仿宋" w:eastAsia="仿宋" w:cs="仿宋"/>
          <w:color w:val="auto"/>
          <w:sz w:val="32"/>
          <w:szCs w:val="32"/>
        </w:rPr>
        <w:t>功能教室</w:t>
      </w:r>
      <w:r>
        <w:rPr>
          <w:rFonts w:hint="eastAsia" w:ascii="仿宋" w:hAnsi="仿宋" w:eastAsia="仿宋" w:cs="仿宋"/>
          <w:color w:val="auto"/>
          <w:sz w:val="32"/>
          <w:szCs w:val="32"/>
          <w:lang w:val="en-US" w:eastAsia="zh-CN"/>
        </w:rPr>
        <w:t>4间，儿童康复设施百余件。</w:t>
      </w:r>
      <w:r>
        <w:rPr>
          <w:rFonts w:hint="eastAsia" w:ascii="仿宋" w:hAnsi="仿宋" w:eastAsia="仿宋" w:cs="仿宋"/>
          <w:color w:val="auto"/>
          <w:sz w:val="32"/>
          <w:szCs w:val="32"/>
          <w:lang w:eastAsia="zh-CN"/>
        </w:rPr>
        <w:t>举办脑瘫儿童康复观摩活动</w:t>
      </w:r>
      <w:r>
        <w:rPr>
          <w:rFonts w:hint="eastAsia" w:ascii="仿宋" w:hAnsi="仿宋" w:eastAsia="仿宋" w:cs="仿宋"/>
          <w:color w:val="auto"/>
          <w:sz w:val="32"/>
          <w:szCs w:val="32"/>
          <w:lang w:val="en-US" w:eastAsia="zh-CN"/>
        </w:rPr>
        <w:t>1次</w:t>
      </w:r>
      <w:r>
        <w:rPr>
          <w:rFonts w:hint="eastAsia" w:ascii="仿宋" w:hAnsi="仿宋" w:eastAsia="仿宋" w:cs="仿宋"/>
          <w:color w:val="auto"/>
          <w:sz w:val="32"/>
          <w:szCs w:val="32"/>
          <w:lang w:eastAsia="zh-CN"/>
        </w:rPr>
        <w:t>，组织</w:t>
      </w:r>
      <w:r>
        <w:rPr>
          <w:rFonts w:hint="eastAsia" w:ascii="仿宋" w:hAnsi="仿宋" w:eastAsia="仿宋" w:cs="仿宋"/>
          <w:color w:val="auto"/>
          <w:sz w:val="32"/>
          <w:szCs w:val="32"/>
          <w:lang w:val="en-US" w:eastAsia="zh-CN"/>
        </w:rPr>
        <w:t>20多名残疾儿童及其家长，通过</w:t>
      </w:r>
      <w:r>
        <w:rPr>
          <w:rFonts w:hint="eastAsia" w:ascii="仿宋" w:hAnsi="仿宋" w:eastAsia="仿宋" w:cs="仿宋"/>
          <w:color w:val="auto"/>
          <w:sz w:val="32"/>
          <w:szCs w:val="32"/>
        </w:rPr>
        <w:t>实地观摩</w:t>
      </w:r>
      <w:r>
        <w:rPr>
          <w:rFonts w:hint="eastAsia" w:ascii="仿宋" w:hAnsi="仿宋" w:eastAsia="仿宋" w:cs="仿宋"/>
          <w:color w:val="auto"/>
          <w:sz w:val="32"/>
          <w:szCs w:val="32"/>
          <w:lang w:eastAsia="zh-CN"/>
        </w:rPr>
        <w:t>，帮助家长打消顾虑，方便残疾儿童家庭就近治疗，减少就医开支，降低就医成本，现该中心</w:t>
      </w:r>
      <w:r>
        <w:rPr>
          <w:rFonts w:hint="eastAsia" w:ascii="仿宋" w:hAnsi="仿宋" w:eastAsia="仿宋" w:cs="仿宋"/>
          <w:color w:val="auto"/>
          <w:sz w:val="32"/>
          <w:szCs w:val="32"/>
          <w:lang w:val="en-US" w:eastAsia="zh-CN"/>
        </w:rPr>
        <w:t>救助儿童达30多人</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rPr>
          <w:rFonts w:hint="eastAsia" w:ascii="仿宋" w:hAnsi="仿宋" w:eastAsia="仿宋" w:cs="仿宋"/>
          <w:b w:val="0"/>
          <w:bCs w:val="0"/>
          <w:sz w:val="32"/>
          <w:szCs w:val="32"/>
        </w:rPr>
      </w:pPr>
      <w:r>
        <w:rPr>
          <w:rFonts w:hint="eastAsia" w:ascii="仿宋" w:hAnsi="仿宋" w:eastAsia="仿宋" w:cs="仿宋"/>
          <w:b/>
          <w:bCs/>
          <w:i w:val="0"/>
          <w:caps w:val="0"/>
          <w:color w:val="000000"/>
          <w:spacing w:val="0"/>
          <w:sz w:val="32"/>
          <w:szCs w:val="32"/>
          <w:lang w:val="en-US" w:eastAsia="zh-CN"/>
        </w:rPr>
        <w:t>2.康复项目稳步推进。</w:t>
      </w:r>
      <w:r>
        <w:rPr>
          <w:rFonts w:hint="eastAsia" w:ascii="仿宋" w:hAnsi="仿宋" w:eastAsia="仿宋" w:cs="仿宋"/>
          <w:color w:val="auto"/>
          <w:sz w:val="32"/>
          <w:szCs w:val="32"/>
          <w:lang w:val="en-US" w:eastAsia="zh-CN"/>
        </w:rPr>
        <w:t>一是精准康复服务项目。精准康复主要针对肢体残疾人，该</w:t>
      </w:r>
      <w:r>
        <w:rPr>
          <w:rFonts w:hint="eastAsia" w:ascii="仿宋" w:hAnsi="仿宋" w:eastAsia="仿宋" w:cs="仿宋"/>
          <w:b w:val="0"/>
          <w:bCs w:val="0"/>
          <w:sz w:val="32"/>
          <w:szCs w:val="32"/>
          <w:lang w:val="en-US" w:eastAsia="zh-CN"/>
        </w:rPr>
        <w:t>项目共惠及650人，每人补助190元。二是精神病患者服药项目。该项目共惠及30人，每人补助900元。 三是肢体残疾人康复训练项目。该项目共惠及10人，每人补助3000元。四是残疾儿童康复救助项目。</w:t>
      </w:r>
      <w:r>
        <w:rPr>
          <w:rFonts w:hint="eastAsia" w:ascii="仿宋" w:hAnsi="仿宋" w:eastAsia="仿宋" w:cs="仿宋"/>
          <w:b w:val="0"/>
          <w:bCs w:val="0"/>
          <w:sz w:val="32"/>
          <w:szCs w:val="32"/>
          <w:highlight w:val="none"/>
          <w:lang w:val="en-US" w:eastAsia="zh-CN"/>
        </w:rPr>
        <w:t>残疾儿童康复项目惠及21人，每人补助17000元</w:t>
      </w:r>
      <w:r>
        <w:rPr>
          <w:rFonts w:hint="eastAsia" w:ascii="仿宋" w:hAnsi="仿宋" w:eastAsia="仿宋" w:cs="仿宋"/>
          <w:b w:val="0"/>
          <w:bCs w:val="0"/>
          <w:i w:val="0"/>
          <w:caps w:val="0"/>
          <w:color w:val="000000"/>
          <w:spacing w:val="0"/>
          <w:sz w:val="32"/>
          <w:szCs w:val="32"/>
          <w:highlight w:val="none"/>
          <w:lang w:val="en-US" w:eastAsia="zh-CN"/>
        </w:rPr>
        <w:t>。五是</w:t>
      </w:r>
      <w:r>
        <w:rPr>
          <w:rFonts w:hint="eastAsia" w:ascii="仿宋" w:hAnsi="仿宋" w:eastAsia="仿宋" w:cs="仿宋"/>
          <w:b w:val="0"/>
          <w:bCs w:val="0"/>
          <w:sz w:val="32"/>
          <w:szCs w:val="32"/>
          <w:highlight w:val="none"/>
          <w:lang w:eastAsia="zh-CN"/>
        </w:rPr>
        <w:t>残疾人基本辅助器具适配项目。</w:t>
      </w:r>
      <w:r>
        <w:rPr>
          <w:rFonts w:hint="eastAsia" w:ascii="仿宋" w:hAnsi="仿宋" w:eastAsia="仿宋" w:cs="仿宋"/>
          <w:b w:val="0"/>
          <w:bCs w:val="0"/>
          <w:sz w:val="32"/>
          <w:szCs w:val="32"/>
          <w:highlight w:val="none"/>
          <w:lang w:val="en-US" w:eastAsia="zh-CN"/>
        </w:rPr>
        <w:t>今</w:t>
      </w:r>
      <w:r>
        <w:rPr>
          <w:rFonts w:hint="eastAsia" w:ascii="仿宋" w:hAnsi="仿宋" w:eastAsia="仿宋" w:cs="仿宋"/>
          <w:b w:val="0"/>
          <w:bCs w:val="0"/>
          <w:sz w:val="32"/>
          <w:szCs w:val="32"/>
          <w:highlight w:val="none"/>
          <w:lang w:eastAsia="zh-CN"/>
        </w:rPr>
        <w:t>年共</w:t>
      </w:r>
      <w:r>
        <w:rPr>
          <w:rFonts w:hint="eastAsia" w:ascii="仿宋" w:hAnsi="仿宋" w:eastAsia="仿宋" w:cs="仿宋"/>
          <w:b w:val="0"/>
          <w:bCs w:val="0"/>
          <w:i w:val="0"/>
          <w:caps w:val="0"/>
          <w:color w:val="000000"/>
          <w:spacing w:val="0"/>
          <w:sz w:val="32"/>
          <w:szCs w:val="32"/>
          <w:highlight w:val="none"/>
          <w:lang w:val="en-US" w:eastAsia="zh-CN"/>
        </w:rPr>
        <w:t>为</w:t>
      </w:r>
      <w:r>
        <w:rPr>
          <w:rFonts w:hint="eastAsia" w:ascii="仿宋" w:hAnsi="仿宋" w:eastAsia="仿宋" w:cs="仿宋"/>
          <w:b w:val="0"/>
          <w:bCs w:val="0"/>
          <w:sz w:val="32"/>
          <w:szCs w:val="32"/>
          <w:highlight w:val="none"/>
          <w:lang w:val="en-US" w:eastAsia="zh-CN"/>
        </w:rPr>
        <w:t xml:space="preserve"> 55名</w:t>
      </w:r>
      <w:r>
        <w:rPr>
          <w:rFonts w:hint="eastAsia" w:ascii="仿宋" w:hAnsi="仿宋" w:eastAsia="仿宋" w:cs="仿宋"/>
          <w:b w:val="0"/>
          <w:bCs w:val="0"/>
          <w:sz w:val="32"/>
          <w:szCs w:val="32"/>
          <w:highlight w:val="none"/>
        </w:rPr>
        <w:t>残疾人</w:t>
      </w:r>
      <w:r>
        <w:rPr>
          <w:rFonts w:hint="eastAsia" w:ascii="仿宋" w:hAnsi="仿宋" w:eastAsia="仿宋" w:cs="仿宋"/>
          <w:b w:val="0"/>
          <w:bCs w:val="0"/>
          <w:sz w:val="32"/>
          <w:szCs w:val="32"/>
          <w:highlight w:val="none"/>
          <w:lang w:eastAsia="zh-CN"/>
        </w:rPr>
        <w:t>购置</w:t>
      </w:r>
      <w:r>
        <w:rPr>
          <w:rFonts w:hint="eastAsia" w:ascii="仿宋" w:hAnsi="仿宋" w:eastAsia="仿宋" w:cs="仿宋"/>
          <w:b w:val="0"/>
          <w:bCs w:val="0"/>
          <w:sz w:val="32"/>
          <w:szCs w:val="32"/>
          <w:highlight w:val="none"/>
        </w:rPr>
        <w:t>辅具</w:t>
      </w:r>
      <w:r>
        <w:rPr>
          <w:rFonts w:hint="eastAsia" w:ascii="仿宋" w:hAnsi="仿宋" w:eastAsia="仿宋" w:cs="仿宋"/>
          <w:b w:val="0"/>
          <w:bCs w:val="0"/>
          <w:i w:val="0"/>
          <w:caps w:val="0"/>
          <w:color w:val="000000"/>
          <w:spacing w:val="0"/>
          <w:sz w:val="32"/>
          <w:szCs w:val="32"/>
          <w:highlight w:val="none"/>
          <w:lang w:val="en-US" w:eastAsia="zh-CN"/>
        </w:rPr>
        <w:t>，补助项目资金 4.95 万元</w:t>
      </w:r>
      <w:r>
        <w:rPr>
          <w:rFonts w:hint="eastAsia" w:ascii="仿宋" w:hAnsi="仿宋" w:eastAsia="仿宋" w:cs="仿宋"/>
          <w:b w:val="0"/>
          <w:bCs w:val="0"/>
          <w:i w:val="0"/>
          <w:caps w:val="0"/>
          <w:color w:val="000000"/>
          <w:spacing w:val="0"/>
          <w:sz w:val="32"/>
          <w:szCs w:val="32"/>
          <w:lang w:val="en-US" w:eastAsia="zh-CN"/>
        </w:rPr>
        <w:t>全部用于采购轮椅、助听器、腋拐等辅助器具</w:t>
      </w:r>
      <w:r>
        <w:rPr>
          <w:rFonts w:hint="eastAsia" w:ascii="仿宋" w:hAnsi="仿宋" w:eastAsia="仿宋" w:cs="仿宋"/>
          <w:b w:val="0"/>
          <w:bCs w:val="0"/>
          <w:sz w:val="32"/>
          <w:szCs w:val="32"/>
        </w:rPr>
        <w:t>。</w:t>
      </w:r>
    </w:p>
    <w:p>
      <w:pPr>
        <w:keepNext w:val="0"/>
        <w:keepLines w:val="0"/>
        <w:pageBreakBefore w:val="0"/>
        <w:widowControl w:val="0"/>
        <w:kinsoku/>
        <w:wordWrap/>
        <w:overflowPunct/>
        <w:topLinePunct w:val="0"/>
        <w:autoSpaceDE/>
        <w:autoSpaceDN/>
        <w:bidi w:val="0"/>
        <w:adjustRightInd/>
        <w:snapToGrid/>
        <w:spacing w:after="0" w:line="520" w:lineRule="exact"/>
        <w:ind w:firstLine="643" w:firstLineChars="200"/>
        <w:jc w:val="both"/>
        <w:textAlignment w:val="auto"/>
        <w:rPr>
          <w:rFonts w:hint="eastAsia"/>
        </w:rPr>
      </w:pPr>
      <w:r>
        <w:rPr>
          <w:rFonts w:hint="eastAsia" w:ascii="仿宋" w:hAnsi="仿宋" w:eastAsia="仿宋" w:cs="仿宋"/>
          <w:b/>
          <w:bCs/>
          <w:sz w:val="32"/>
          <w:szCs w:val="32"/>
          <w:lang w:val="en-US" w:eastAsia="zh-CN"/>
        </w:rPr>
        <w:t>（二）残疾人保障工作。</w:t>
      </w:r>
    </w:p>
    <w:p>
      <w:pPr>
        <w:keepNext w:val="0"/>
        <w:keepLines w:val="0"/>
        <w:pageBreakBefore w:val="0"/>
        <w:widowControl w:val="0"/>
        <w:kinsoku/>
        <w:wordWrap/>
        <w:overflowPunct/>
        <w:topLinePunct w:val="0"/>
        <w:autoSpaceDE/>
        <w:autoSpaceDN/>
        <w:bidi w:val="0"/>
        <w:adjustRightInd/>
        <w:snapToGrid/>
        <w:spacing w:after="0" w:line="520" w:lineRule="exact"/>
        <w:ind w:firstLine="643" w:firstLineChars="200"/>
        <w:jc w:val="both"/>
        <w:textAlignment w:val="auto"/>
        <w:rPr>
          <w:rFonts w:hint="eastAsia" w:ascii="仿宋" w:hAnsi="仿宋" w:eastAsia="仿宋" w:cs="仿宋"/>
          <w:b/>
          <w:bCs/>
          <w:i w:val="0"/>
          <w:caps w:val="0"/>
          <w:color w:val="000000"/>
          <w:spacing w:val="0"/>
          <w:sz w:val="32"/>
          <w:szCs w:val="32"/>
          <w:lang w:val="en-US" w:eastAsia="zh-CN"/>
        </w:rPr>
      </w:pPr>
      <w:r>
        <w:rPr>
          <w:rFonts w:hint="eastAsia" w:ascii="仿宋" w:hAnsi="仿宋" w:eastAsia="仿宋" w:cs="仿宋"/>
          <w:b/>
          <w:bCs/>
          <w:i w:val="0"/>
          <w:caps w:val="0"/>
          <w:color w:val="000000"/>
          <w:spacing w:val="0"/>
          <w:sz w:val="32"/>
          <w:szCs w:val="32"/>
          <w:lang w:val="en-US" w:eastAsia="zh-CN"/>
        </w:rPr>
        <w:t>1.持续抓好残疾人就业培训工作。</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促进残疾人就业，保障残疾人劳动权利是民生之本，今年新增残疾人就业283人，截至目前，共571名残疾人已就业。其中按比例就业残疾人25名，集中就业18名，个体就业82名，公益性岗位就业19人，辅助性就业19人，农村种养加就业167人，灵活就业241人。举办残疾人农村实用技术培训4次，培训残疾人101人。今年受新冠疫情影响就业创业残疾人发放生活困难补贴，残疾人个体工商户298人，每人受助800元，共计238400元，受助盲人按摩就业机构 3人，每人2000元，共计6000元。依法征收残疾人就业保障金工作。截至目前，52个企事业单位审核征收保障金3005734.72元。</w:t>
      </w:r>
    </w:p>
    <w:p>
      <w:pPr>
        <w:keepNext w:val="0"/>
        <w:keepLines w:val="0"/>
        <w:pageBreakBefore w:val="0"/>
        <w:widowControl w:val="0"/>
        <w:kinsoku/>
        <w:wordWrap/>
        <w:overflowPunct/>
        <w:topLinePunct w:val="0"/>
        <w:autoSpaceDE/>
        <w:autoSpaceDN/>
        <w:bidi w:val="0"/>
        <w:adjustRightInd/>
        <w:snapToGrid/>
        <w:spacing w:after="0" w:line="520" w:lineRule="exact"/>
        <w:ind w:firstLine="643" w:firstLineChars="200"/>
        <w:jc w:val="both"/>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2.严格落实残疾人“两项补贴”动态管理政策。</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县残联督促各乡镇残联每月按两项补贴工作要求动态残疾人信息，符合两项补贴的残疾人应保尽保，及时录入两项补贴系统，保证补贴发放及时。截至目前，1月至12月“两项补贴”已发放，共计发放102473人次，总金额12296760元。</w:t>
      </w:r>
    </w:p>
    <w:p>
      <w:pPr>
        <w:keepNext w:val="0"/>
        <w:keepLines w:val="0"/>
        <w:pageBreakBefore w:val="0"/>
        <w:widowControl w:val="0"/>
        <w:kinsoku/>
        <w:wordWrap/>
        <w:overflowPunct/>
        <w:topLinePunct w:val="0"/>
        <w:autoSpaceDE/>
        <w:autoSpaceDN/>
        <w:bidi w:val="0"/>
        <w:adjustRightInd/>
        <w:snapToGrid/>
        <w:spacing w:after="0" w:line="520" w:lineRule="exact"/>
        <w:ind w:firstLine="643" w:firstLineChars="200"/>
        <w:jc w:val="both"/>
        <w:textAlignment w:val="auto"/>
        <w:rPr>
          <w:rFonts w:hint="eastAsia" w:ascii="仿宋" w:hAnsi="仿宋" w:eastAsia="仿宋" w:cs="仿宋"/>
          <w:b/>
          <w:bCs/>
          <w:i w:val="0"/>
          <w:caps w:val="0"/>
          <w:color w:val="000000"/>
          <w:spacing w:val="0"/>
          <w:sz w:val="32"/>
          <w:szCs w:val="32"/>
          <w:lang w:val="en-US" w:eastAsia="zh-CN"/>
        </w:rPr>
      </w:pPr>
      <w:r>
        <w:rPr>
          <w:rFonts w:hint="eastAsia" w:ascii="仿宋" w:hAnsi="仿宋" w:eastAsia="仿宋" w:cs="仿宋"/>
          <w:b/>
          <w:bCs/>
          <w:i w:val="0"/>
          <w:caps w:val="0"/>
          <w:color w:val="000000"/>
          <w:spacing w:val="0"/>
          <w:sz w:val="32"/>
          <w:szCs w:val="32"/>
          <w:lang w:val="en-US" w:eastAsia="zh-CN"/>
        </w:rPr>
        <w:t>3.重度残疾人托管人数进一步扩大。</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仿宋" w:hAnsi="仿宋" w:eastAsia="仿宋" w:cs="仿宋"/>
          <w:b w:val="0"/>
          <w:bCs w:val="0"/>
          <w:i w:val="0"/>
          <w:caps w:val="0"/>
          <w:color w:val="000000"/>
          <w:spacing w:val="0"/>
          <w:sz w:val="32"/>
          <w:szCs w:val="32"/>
          <w:highlight w:val="none"/>
          <w:lang w:val="en-US" w:eastAsia="zh-CN"/>
        </w:rPr>
      </w:pPr>
      <w:r>
        <w:rPr>
          <w:rFonts w:hint="eastAsia" w:ascii="仿宋" w:hAnsi="仿宋" w:eastAsia="仿宋" w:cs="仿宋"/>
          <w:b w:val="0"/>
          <w:bCs w:val="0"/>
          <w:i w:val="0"/>
          <w:caps w:val="0"/>
          <w:color w:val="000000"/>
          <w:spacing w:val="0"/>
          <w:sz w:val="32"/>
          <w:szCs w:val="32"/>
          <w:highlight w:val="none"/>
          <w:lang w:val="en-US" w:eastAsia="zh-CN"/>
        </w:rPr>
        <w:t>截至目前，全县有1所寄宿制托养机构，11所家庭式日间照料站，1所社区日间照料站。享受寄宿制托养服务40人，人均补助3000元，已拨付资金12万元。享受家庭式日间照料站服务90人，人均补助2000元，已拨付部分资金 18 万元，切实解决了残疾人托养照料的迫切需求。</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3" w:firstLineChars="200"/>
        <w:jc w:val="both"/>
        <w:textAlignment w:val="auto"/>
        <w:rPr>
          <w:rFonts w:hint="eastAsia" w:ascii="仿宋" w:hAnsi="仿宋" w:eastAsia="仿宋" w:cs="仿宋"/>
          <w:b/>
          <w:bCs/>
          <w:i w:val="0"/>
          <w:caps w:val="0"/>
          <w:color w:val="000000"/>
          <w:spacing w:val="0"/>
          <w:sz w:val="32"/>
          <w:szCs w:val="32"/>
          <w:lang w:val="en-US" w:eastAsia="zh-CN"/>
        </w:rPr>
      </w:pPr>
      <w:r>
        <w:rPr>
          <w:rFonts w:hint="eastAsia" w:ascii="仿宋" w:hAnsi="仿宋" w:eastAsia="仿宋" w:cs="仿宋"/>
          <w:b/>
          <w:bCs/>
          <w:i w:val="0"/>
          <w:caps w:val="0"/>
          <w:color w:val="000000"/>
          <w:spacing w:val="0"/>
          <w:sz w:val="32"/>
          <w:szCs w:val="32"/>
          <w:lang w:val="en-US" w:eastAsia="zh-CN"/>
        </w:rPr>
        <w:t>4.残疾人教育助学活动持续开展。</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仿宋" w:hAnsi="仿宋" w:eastAsia="仿宋" w:cs="仿宋"/>
          <w:b w:val="0"/>
          <w:bCs w:val="0"/>
          <w:i w:val="0"/>
          <w:caps w:val="0"/>
          <w:color w:val="000000"/>
          <w:spacing w:val="0"/>
          <w:sz w:val="32"/>
          <w:szCs w:val="32"/>
          <w:highlight w:val="none"/>
          <w:lang w:val="en-US" w:eastAsia="zh-CN"/>
        </w:rPr>
      </w:pPr>
      <w:r>
        <w:rPr>
          <w:rFonts w:hint="eastAsia" w:ascii="仿宋" w:hAnsi="仿宋" w:eastAsia="仿宋" w:cs="仿宋"/>
          <w:b w:val="0"/>
          <w:bCs w:val="0"/>
          <w:i w:val="0"/>
          <w:caps w:val="0"/>
          <w:color w:val="000000"/>
          <w:spacing w:val="0"/>
          <w:sz w:val="32"/>
          <w:szCs w:val="32"/>
          <w:highlight w:val="none"/>
          <w:lang w:val="en-US" w:eastAsia="zh-CN"/>
        </w:rPr>
        <w:t>为3名考上大学的残疾学生发放“爱心天使”助学资金，每人受助2000元，共计 0.6万元，从一定程度上减轻了残疾人家庭负担，帮助家庭经济困难的残疾学生和贫困残疾人家庭子女完成学业，摸排上报高考残疾大学生8人，摸排残疾人子女高考大学生35人。</w:t>
      </w:r>
    </w:p>
    <w:p>
      <w:pPr>
        <w:pStyle w:val="4"/>
        <w:keepNext w:val="0"/>
        <w:keepLines w:val="0"/>
        <w:pageBreakBefore w:val="0"/>
        <w:numPr>
          <w:ilvl w:val="0"/>
          <w:numId w:val="0"/>
        </w:numPr>
        <w:kinsoku/>
        <w:wordWrap/>
        <w:overflowPunct/>
        <w:topLinePunct w:val="0"/>
        <w:autoSpaceDE/>
        <w:autoSpaceDN/>
        <w:bidi w:val="0"/>
        <w:spacing w:after="0" w:line="520" w:lineRule="exact"/>
        <w:ind w:firstLine="643" w:firstLineChars="200"/>
        <w:jc w:val="both"/>
        <w:textAlignment w:val="auto"/>
        <w:rPr>
          <w:rFonts w:hint="eastAsia" w:ascii="仿宋" w:hAnsi="仿宋" w:eastAsia="仿宋" w:cs="仿宋"/>
          <w:b/>
          <w:bCs/>
          <w:i w:val="0"/>
          <w:caps w:val="0"/>
          <w:color w:val="000000"/>
          <w:spacing w:val="0"/>
          <w:sz w:val="32"/>
          <w:szCs w:val="32"/>
          <w:lang w:val="en-US" w:eastAsia="zh-CN" w:bidi="ar-SA"/>
        </w:rPr>
      </w:pPr>
      <w:r>
        <w:rPr>
          <w:rFonts w:hint="eastAsia" w:ascii="仿宋" w:hAnsi="仿宋" w:eastAsia="仿宋" w:cs="仿宋"/>
          <w:b/>
          <w:bCs/>
          <w:i w:val="0"/>
          <w:caps w:val="0"/>
          <w:color w:val="000000"/>
          <w:spacing w:val="0"/>
          <w:sz w:val="32"/>
          <w:szCs w:val="32"/>
          <w:lang w:val="en-US" w:eastAsia="zh-CN" w:bidi="ar-SA"/>
        </w:rPr>
        <w:t>5.残疾人动态更新采集工作情况。</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jc w:val="left"/>
        <w:textAlignment w:val="auto"/>
        <w:rPr>
          <w:rFonts w:hint="eastAsia" w:ascii="仿宋" w:hAnsi="仿宋" w:eastAsia="仿宋" w:cs="仿宋"/>
          <w:b w:val="0"/>
          <w:bCs w:val="0"/>
          <w:i w:val="0"/>
          <w:caps w:val="0"/>
          <w:color w:val="000000"/>
          <w:spacing w:val="0"/>
          <w:sz w:val="32"/>
          <w:szCs w:val="32"/>
          <w:lang w:val="en-US" w:eastAsia="zh-CN" w:bidi="ar-SA"/>
        </w:rPr>
      </w:pPr>
      <w:r>
        <w:rPr>
          <w:rFonts w:hint="eastAsia" w:ascii="仿宋" w:hAnsi="仿宋" w:eastAsia="仿宋" w:cs="仿宋"/>
          <w:b w:val="0"/>
          <w:bCs w:val="0"/>
          <w:i w:val="0"/>
          <w:caps w:val="0"/>
          <w:color w:val="000000"/>
          <w:spacing w:val="0"/>
          <w:sz w:val="32"/>
          <w:szCs w:val="32"/>
          <w:lang w:val="en-US" w:eastAsia="zh-CN" w:bidi="ar-SA"/>
        </w:rPr>
        <w:t>通过全国持证残疾人基本服务状况和需求信息数据动态更新工作，调查持证残疾人基本信息、住房、教育、就业、社会保障、基本医疗与康复、无障碍、文化体育等方面的基本需求和服务状况，动态更新采集8910人，其中查无此人15人、已搬迁139人（县内）、空挂户11人，外出185人，注销47人、迁移0、已填表8513人。其中入户采集5913人，电话采集2600人，入户采集率达到69.46%。采集来源为调查员手机APP采集8513人，采集比例100%。</w:t>
      </w:r>
    </w:p>
    <w:p>
      <w:pPr>
        <w:keepNext w:val="0"/>
        <w:keepLines w:val="0"/>
        <w:pageBreakBefore w:val="0"/>
        <w:widowControl w:val="0"/>
        <w:kinsoku/>
        <w:wordWrap/>
        <w:overflowPunct/>
        <w:topLinePunct w:val="0"/>
        <w:autoSpaceDE/>
        <w:autoSpaceDN/>
        <w:bidi w:val="0"/>
        <w:spacing w:line="360" w:lineRule="auto"/>
        <w:ind w:firstLine="600" w:firstLineChars="200"/>
        <w:jc w:val="left"/>
        <w:textAlignment w:val="auto"/>
        <w:rPr>
          <w:rFonts w:hint="eastAsia"/>
          <w:color w:val="FF0000"/>
        </w:rPr>
      </w:pPr>
    </w:p>
    <w:p>
      <w:pPr>
        <w:pStyle w:val="6"/>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7"/>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color w:val="auto"/>
        </w:rPr>
        <w:t>残疾人事业发展补助资金</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rPr>
          <w:color w:val="auto"/>
        </w:rPr>
      </w:pPr>
      <w:r>
        <w:rPr>
          <w:rFonts w:hint="eastAsia"/>
          <w:color w:val="auto"/>
        </w:rPr>
        <w:t>2</w:t>
      </w:r>
      <w:r>
        <w:rPr>
          <w:rFonts w:hint="eastAsia"/>
          <w:color w:val="auto"/>
          <w:lang w:val="en-US" w:eastAsia="zh-CN"/>
        </w:rPr>
        <w:t>.</w:t>
      </w:r>
      <w:r>
        <w:rPr>
          <w:rFonts w:hint="eastAsia"/>
          <w:color w:val="auto"/>
        </w:rPr>
        <w:t>绩效评价对象：</w:t>
      </w:r>
    </w:p>
    <w:p>
      <w:pPr>
        <w:spacing w:line="360" w:lineRule="auto"/>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残疾人事业发展补助资金项目</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w:t>
      </w:r>
      <w:r>
        <w:rPr>
          <w:rFonts w:hint="eastAsia" w:ascii="Times New Roman" w:hAnsi="Times New Roman" w:cs="Times New Roman"/>
          <w:color w:val="auto"/>
        </w:rPr>
        <w:t>施）、项目产出（包括项目产出数量、产出质量、产出时效和产出成本）项目效益四个维度进行</w:t>
      </w:r>
      <w:r>
        <w:rPr>
          <w:rFonts w:hint="eastAsia" w:ascii="Times New Roman" w:hAnsi="Times New Roman" w:cs="Times New Roman"/>
          <w:color w:val="auto"/>
          <w:lang w:val="en-US" w:eastAsia="zh-CN"/>
        </w:rPr>
        <w:t>残疾人事业发展补助资金项目</w:t>
      </w:r>
      <w:r>
        <w:rPr>
          <w:rFonts w:hint="eastAsia" w:ascii="Times New Roman" w:hAnsi="Times New Roman" w:cs="Times New Roman"/>
          <w:color w:val="auto"/>
        </w:rPr>
        <w:t>评价，评价核心为资金的支出完成情况和效果。</w:t>
      </w:r>
    </w:p>
    <w:p>
      <w:pPr>
        <w:pStyle w:val="7"/>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hint="eastAsia" w:ascii="仿宋_GB2312" w:hAnsi="Times New Roman" w:cs="Times New Roman"/>
          <w:bCs/>
          <w:color w:val="auto"/>
          <w:sz w:val="32"/>
          <w:szCs w:val="32"/>
        </w:rPr>
      </w:pPr>
      <w:r>
        <w:rPr>
          <w:rFonts w:hint="eastAsia" w:ascii="仿宋_GB2312"/>
          <w:bCs/>
          <w:color w:val="auto"/>
          <w:sz w:val="32"/>
          <w:szCs w:val="32"/>
        </w:rPr>
        <w:t>（四）公开透</w:t>
      </w:r>
      <w:r>
        <w:rPr>
          <w:rFonts w:hint="eastAsia" w:ascii="仿宋_GB2312" w:hAnsi="Times New Roman" w:cs="Times New Roman"/>
          <w:bCs/>
          <w:color w:val="auto"/>
          <w:sz w:val="32"/>
          <w:szCs w:val="32"/>
        </w:rPr>
        <w:t>明。本次项目支出绩效评价结果已依法依规公开在</w:t>
      </w:r>
      <w:r>
        <w:rPr>
          <w:rFonts w:hint="eastAsia" w:ascii="仿宋_GB2312" w:hAnsi="Times New Roman" w:cs="Times New Roman"/>
          <w:bCs/>
          <w:color w:val="auto"/>
          <w:sz w:val="32"/>
          <w:szCs w:val="32"/>
          <w:lang w:eastAsia="zh-CN"/>
        </w:rPr>
        <w:t>霍城政务</w:t>
      </w:r>
      <w:r>
        <w:rPr>
          <w:rFonts w:hint="eastAsia" w:ascii="仿宋_GB2312" w:hAnsi="Times New Roman" w:cs="Times New Roman"/>
          <w:bCs/>
          <w:color w:val="auto"/>
          <w:sz w:val="32"/>
          <w:szCs w:val="32"/>
        </w:rPr>
        <w:t>网站上，并自觉接受社会监督。</w:t>
      </w:r>
    </w:p>
    <w:p>
      <w:pPr>
        <w:spacing w:line="360" w:lineRule="auto"/>
        <w:ind w:firstLine="600" w:firstLineChars="200"/>
        <w:jc w:val="left"/>
        <w:rPr>
          <w:rFonts w:hint="eastAsia"/>
        </w:rPr>
      </w:pPr>
      <w:r>
        <w:rPr>
          <w:rFonts w:hint="eastAsia"/>
        </w:rPr>
        <w:t>2、评价指标体系（附表说明）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b w:val="0"/>
          <w:bCs w:val="0"/>
          <w:sz w:val="30"/>
          <w:szCs w:val="24"/>
        </w:rPr>
      </w:pPr>
      <w:r>
        <w:rPr>
          <w:rFonts w:hint="eastAsia" w:ascii="仿宋_GB2312" w:hAnsi="Times New Roman" w:eastAsia="仿宋_GB2312" w:cs="Times New Roman"/>
          <w:sz w:val="32"/>
          <w:szCs w:val="32"/>
          <w:lang w:val="en-US" w:eastAsia="zh-CN"/>
        </w:rPr>
        <w:t>残疾人事业发展补助资金</w:t>
      </w:r>
      <w:r>
        <w:rPr>
          <w:rFonts w:hint="eastAsia" w:ascii="Times New Roman" w:hAnsi="Times New Roman" w:eastAsia="仿宋_GB2312" w:cs="Times New Roman"/>
          <w:b w:val="0"/>
          <w:bCs w:val="0"/>
          <w:sz w:val="30"/>
          <w:szCs w:val="24"/>
        </w:rPr>
        <w:t>项目支出绩效评价指标体系</w:t>
      </w:r>
    </w:p>
    <w:tbl>
      <w:tblPr>
        <w:tblStyle w:val="12"/>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bCs/>
          <w:color w:val="auto"/>
          <w:sz w:val="32"/>
          <w:szCs w:val="32"/>
        </w:rPr>
      </w:pPr>
      <w:r>
        <w:rPr>
          <w:rFonts w:hint="eastAsia"/>
          <w:color w:val="auto"/>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rPr>
      </w:pPr>
      <w:r>
        <w:rPr>
          <w:rFonts w:hint="eastAsia" w:ascii="仿宋_GB2312" w:hAnsi="Times New Roman" w:eastAsia="仿宋_GB2312" w:cs="Times New Roman"/>
          <w:color w:val="auto"/>
          <w:sz w:val="32"/>
          <w:szCs w:val="32"/>
          <w:highlight w:val="none"/>
          <w:lang w:val="en-US" w:eastAsia="zh-CN"/>
        </w:rPr>
        <w:t>本次绩效评价采用的方法主要是成本效益分析法、因素分析法，</w:t>
      </w:r>
      <w:r>
        <w:rPr>
          <w:rFonts w:hint="eastAsia" w:ascii="仿宋_GB2312" w:cs="Times New Roman"/>
          <w:color w:val="auto"/>
          <w:sz w:val="32"/>
          <w:szCs w:val="32"/>
          <w:highlight w:val="none"/>
          <w:lang w:val="en-US" w:eastAsia="zh-CN"/>
        </w:rPr>
        <w:t>原因是：为了更好与项目全部成本和效益进行对比，来评估项目的价值。确定项目的可行性以及分析项目所需资金从而减小项目风险。因素分析法运用数学方法对项目进行过程中出现的外部特征和联系进行由表及里，从而得出客观概念。</w:t>
      </w:r>
      <w:r>
        <w:rPr>
          <w:rFonts w:hint="eastAsia" w:ascii="仿宋_GB2312" w:hAnsi="Times New Roman" w:eastAsia="仿宋_GB2312" w:cs="Times New Roman"/>
          <w:color w:val="auto"/>
          <w:sz w:val="32"/>
          <w:szCs w:val="32"/>
          <w:highlight w:val="none"/>
          <w:lang w:val="en-US" w:eastAsia="zh-CN"/>
        </w:rPr>
        <w:t>对项目绩效目标预期指标值与实施情况进行指标分析、比较，采取公众问卷及抽样调查等方式进行评判，对该项目进行评价。</w:t>
      </w:r>
    </w:p>
    <w:p>
      <w:pPr>
        <w:spacing w:line="360" w:lineRule="auto"/>
        <w:ind w:firstLine="600" w:firstLineChars="200"/>
        <w:jc w:val="left"/>
        <w:rPr>
          <w:rFonts w:hint="eastAsia"/>
          <w:color w:val="auto"/>
          <w:highlight w:val="none"/>
        </w:rPr>
      </w:pPr>
      <w:r>
        <w:rPr>
          <w:rFonts w:hint="eastAsia"/>
          <w:color w:val="auto"/>
          <w:highlight w:val="none"/>
        </w:rPr>
        <w:t>4</w:t>
      </w:r>
      <w:r>
        <w:rPr>
          <w:rFonts w:hint="eastAsia"/>
          <w:color w:val="auto"/>
          <w:highlight w:val="none"/>
          <w:lang w:val="en-US" w:eastAsia="zh-CN"/>
        </w:rPr>
        <w:t>.</w:t>
      </w:r>
      <w:r>
        <w:rPr>
          <w:rFonts w:hint="eastAsia"/>
          <w:color w:val="auto"/>
          <w:highlight w:val="none"/>
        </w:rPr>
        <w:t>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lang w:val="en-US" w:eastAsia="zh-CN"/>
        </w:rPr>
      </w:pPr>
      <w:bookmarkStart w:id="6" w:name="_Toc68703833"/>
      <w:r>
        <w:rPr>
          <w:rFonts w:hint="eastAsia" w:ascii="仿宋_GB2312" w:hAnsi="Times New Roman" w:eastAsia="仿宋_GB2312" w:cs="Times New Roman"/>
          <w:sz w:val="32"/>
          <w:szCs w:val="32"/>
          <w:highlight w:val="none"/>
          <w:lang w:val="en-US" w:eastAsia="zh-CN"/>
        </w:rPr>
        <w:t>本次项目支出绩效</w:t>
      </w:r>
      <w:r>
        <w:rPr>
          <w:rFonts w:hint="eastAsia" w:ascii="仿宋_GB2312" w:cs="Times New Roman"/>
          <w:sz w:val="32"/>
          <w:szCs w:val="32"/>
          <w:highlight w:val="none"/>
          <w:lang w:val="en-US" w:eastAsia="zh-CN"/>
        </w:rPr>
        <w:t>自评采用历史标准，原因是：历史标准比较客观和可靠，因为上期的数据也来源于本单位，是对单位项目最客观真实的评价；本期与历史标准具有较强的可比性。</w:t>
      </w:r>
      <w:r>
        <w:rPr>
          <w:rFonts w:hint="eastAsia" w:ascii="仿宋_GB2312" w:hAnsi="Times New Roman" w:eastAsia="仿宋_GB2312" w:cs="Times New Roman"/>
          <w:sz w:val="32"/>
          <w:szCs w:val="32"/>
          <w:highlight w:val="none"/>
          <w:lang w:val="en-US" w:eastAsia="zh-CN"/>
        </w:rPr>
        <w:t>评价</w:t>
      </w:r>
      <w:r>
        <w:rPr>
          <w:rFonts w:hint="eastAsia" w:ascii="仿宋_GB2312" w:hAnsi="Times New Roman" w:cs="Times New Roman"/>
          <w:sz w:val="32"/>
          <w:szCs w:val="32"/>
          <w:highlight w:val="none"/>
          <w:lang w:val="en-US" w:eastAsia="zh-CN"/>
        </w:rPr>
        <w:t>执行</w:t>
      </w:r>
      <w:r>
        <w:rPr>
          <w:rFonts w:hint="eastAsia" w:ascii="仿宋_GB2312" w:hAnsi="Times New Roman" w:eastAsia="仿宋_GB2312" w:cs="Times New Roman"/>
          <w:sz w:val="32"/>
          <w:szCs w:val="32"/>
          <w:highlight w:val="none"/>
          <w:lang w:val="en-US" w:eastAsia="zh-CN"/>
        </w:rPr>
        <w:t>资金补助文件伊州财社〔202</w:t>
      </w:r>
      <w:r>
        <w:rPr>
          <w:rFonts w:hint="eastAsia" w:ascii="仿宋_GB2312" w:hAnsi="Times New Roman" w:cs="Times New Roman"/>
          <w:sz w:val="32"/>
          <w:szCs w:val="32"/>
          <w:highlight w:val="none"/>
          <w:lang w:val="en-US" w:eastAsia="zh-CN"/>
        </w:rPr>
        <w:t>2</w:t>
      </w:r>
      <w:r>
        <w:rPr>
          <w:rFonts w:hint="eastAsia" w:ascii="仿宋_GB2312" w:hAnsi="Times New Roman" w:eastAsia="仿宋_GB2312" w:cs="Times New Roman"/>
          <w:sz w:val="32"/>
          <w:szCs w:val="32"/>
          <w:highlight w:val="none"/>
          <w:lang w:val="en-US" w:eastAsia="zh-CN"/>
        </w:rPr>
        <w:t>〕1号文中附带</w:t>
      </w:r>
      <w:r>
        <w:rPr>
          <w:rFonts w:hint="eastAsia" w:ascii="仿宋_GB2312" w:hAnsi="Times New Roman" w:cs="Times New Roman"/>
          <w:sz w:val="32"/>
          <w:szCs w:val="32"/>
          <w:highlight w:val="none"/>
          <w:lang w:val="en-US" w:eastAsia="zh-CN"/>
        </w:rPr>
        <w:t>上级下达的标准</w:t>
      </w:r>
      <w:r>
        <w:rPr>
          <w:rFonts w:hint="eastAsia" w:ascii="仿宋_GB2312" w:hAnsi="Times New Roman" w:eastAsia="仿宋_GB2312" w:cs="Times New Roman"/>
          <w:sz w:val="32"/>
          <w:szCs w:val="32"/>
          <w:highlight w:val="none"/>
          <w:lang w:val="en-US" w:eastAsia="zh-CN"/>
        </w:rPr>
        <w:t>，每款项严格按文件标准执行。</w:t>
      </w:r>
    </w:p>
    <w:p>
      <w:pPr>
        <w:pStyle w:val="7"/>
        <w:spacing w:line="360" w:lineRule="auto"/>
        <w:rPr>
          <w:rFonts w:hint="eastAsia" w:ascii="仿宋_GB2312" w:eastAsia="仿宋_GB2312"/>
          <w:b w:val="0"/>
          <w:bCs w:val="0"/>
        </w:rPr>
      </w:pPr>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分析评价：</w:t>
      </w:r>
    </w:p>
    <w:p>
      <w:pPr>
        <w:spacing w:line="360" w:lineRule="auto"/>
        <w:ind w:firstLine="600" w:firstLineChars="200"/>
        <w:rPr>
          <w:rFonts w:hint="eastAsia" w:eastAsia="仿宋_GB2312"/>
          <w:color w:val="auto"/>
          <w:lang w:val="en-US" w:eastAsia="zh-CN"/>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16</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28</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bookmarkStart w:id="7" w:name="_Toc68703834"/>
    </w:p>
    <w:p>
      <w:pPr>
        <w:spacing w:line="360" w:lineRule="auto"/>
        <w:ind w:firstLine="643" w:firstLineChars="200"/>
        <w:rPr>
          <w:rFonts w:ascii="宋体" w:hAnsi="宋体" w:eastAsia="宋体"/>
          <w:b/>
          <w:bCs/>
          <w:sz w:val="32"/>
          <w:szCs w:val="32"/>
        </w:rPr>
      </w:pPr>
      <w:r>
        <w:rPr>
          <w:rFonts w:hint="eastAsia" w:ascii="宋体" w:hAnsi="宋体" w:eastAsia="宋体"/>
          <w:b/>
          <w:bCs/>
          <w:sz w:val="32"/>
          <w:szCs w:val="32"/>
        </w:rPr>
        <w:t>三、综合评价情况及评价结论</w:t>
      </w:r>
      <w:bookmarkEnd w:id="7"/>
    </w:p>
    <w:p>
      <w:pPr>
        <w:pStyle w:val="7"/>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ascii="Times New Roman" w:hAnsi="Times New Roman" w:cs="Times New Roman"/>
          <w:color w:val="auto"/>
        </w:rPr>
        <w:t>本项目严格按照科学公正、统筹兼顾、激励约束、公开透明的绩效评价原则，</w:t>
      </w:r>
      <w:r>
        <w:rPr>
          <w:rFonts w:hint="eastAsia" w:ascii="Times New Roman" w:hAnsi="Times New Roman" w:cs="Times New Roman"/>
          <w:color w:val="auto"/>
          <w:highlight w:val="none"/>
        </w:rPr>
        <w:t>采用</w:t>
      </w:r>
      <w:r>
        <w:rPr>
          <w:rFonts w:hint="eastAsia" w:ascii="Times New Roman" w:hAnsi="Times New Roman" w:cs="Times New Roman"/>
          <w:color w:val="auto"/>
          <w:highlight w:val="none"/>
          <w:lang w:val="en-US" w:eastAsia="zh-CN"/>
        </w:rPr>
        <w:t>成本效益分析法、因素分析法等评价方法，</w:t>
      </w:r>
      <w:r>
        <w:rPr>
          <w:rFonts w:hint="eastAsia" w:ascii="Times New Roman" w:hAnsi="Times New Roman" w:cs="Times New Roman"/>
          <w:color w:val="auto"/>
          <w:highlight w:val="none"/>
        </w:rPr>
        <w:t>坚持</w:t>
      </w:r>
      <w:r>
        <w:rPr>
          <w:rFonts w:hint="eastAsia" w:cs="Times New Roman"/>
          <w:color w:val="auto"/>
          <w:highlight w:val="none"/>
          <w:lang w:val="en-US" w:eastAsia="zh-CN"/>
        </w:rPr>
        <w:t>历史</w:t>
      </w:r>
      <w:r>
        <w:rPr>
          <w:rFonts w:hint="eastAsia" w:ascii="Times New Roman" w:hAnsi="Times New Roman" w:cs="Times New Roman"/>
          <w:color w:val="auto"/>
          <w:highlight w:val="none"/>
          <w:lang w:val="en-US" w:eastAsia="zh-CN"/>
        </w:rPr>
        <w:t>标准</w:t>
      </w:r>
      <w:r>
        <w:rPr>
          <w:rFonts w:hint="eastAsia" w:ascii="Times New Roman" w:hAnsi="Times New Roman" w:cs="Times New Roman"/>
          <w:color w:val="auto"/>
          <w:highlight w:val="none"/>
        </w:rPr>
        <w:t>对本项目的立项、绩效目标、资金投入、资金管</w:t>
      </w:r>
      <w:r>
        <w:rPr>
          <w:rFonts w:hint="eastAsia"/>
          <w:color w:val="auto"/>
          <w:highlight w:val="none"/>
        </w:rPr>
        <w:t>理、组织实施、产出数量、产出质量、产</w:t>
      </w:r>
      <w:r>
        <w:rPr>
          <w:rFonts w:hint="eastAsia"/>
          <w:color w:val="auto"/>
        </w:rPr>
        <w:t>出时效、产出成本、项目效益进行了综合评价。</w:t>
      </w:r>
    </w:p>
    <w:p>
      <w:pPr>
        <w:spacing w:line="360" w:lineRule="auto"/>
        <w:ind w:firstLine="600" w:firstLineChars="200"/>
        <w:jc w:val="center"/>
        <w:rPr>
          <w:color w:val="auto"/>
        </w:rPr>
      </w:pPr>
      <w:r>
        <w:rPr>
          <w:rFonts w:hint="eastAsia" w:ascii="Times New Roman" w:hAnsi="Times New Roman" w:cs="Times New Roman"/>
          <w:color w:val="auto"/>
          <w:lang w:val="en-US" w:eastAsia="zh-CN"/>
        </w:rPr>
        <w:t>残疾人事业发展补助资金</w:t>
      </w:r>
      <w:r>
        <w:rPr>
          <w:rFonts w:hint="eastAsia" w:ascii="Times New Roman" w:hAnsi="Times New Roman" w:cs="Times New Roman"/>
          <w:color w:val="auto"/>
        </w:rPr>
        <w:t>项目评价</w:t>
      </w:r>
      <w:r>
        <w:rPr>
          <w:rFonts w:hint="eastAsia"/>
          <w:color w:val="auto"/>
        </w:rPr>
        <w:t>得分情况</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auto"/>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auto"/>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auto"/>
                <w:sz w:val="22"/>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b/>
                <w:bCs/>
                <w:color w:val="000000"/>
                <w:sz w:val="22"/>
                <w:lang w:val="en-US"/>
              </w:rPr>
            </w:pPr>
            <w:r>
              <w:rPr>
                <w:rFonts w:hint="eastAsia"/>
                <w:b/>
                <w:bCs/>
                <w:color w:val="auto"/>
                <w:sz w:val="22"/>
                <w:highlight w:val="none"/>
                <w:lang w:val="en-US" w:eastAsia="zh-CN"/>
              </w:rPr>
              <w:t>100</w:t>
            </w:r>
          </w:p>
        </w:tc>
      </w:tr>
    </w:tbl>
    <w:p>
      <w:pPr>
        <w:pStyle w:val="7"/>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color w:val="auto"/>
          <w:lang w:eastAsia="zh-CN"/>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分为100分，</w:t>
      </w:r>
      <w:r>
        <w:rPr>
          <w:rFonts w:hint="eastAsia"/>
          <w:color w:val="auto"/>
          <w:lang w:val="en-US" w:eastAsia="zh-CN"/>
        </w:rPr>
        <w:t>评价等级为“优”</w:t>
      </w:r>
      <w:r>
        <w:rPr>
          <w:rFonts w:hint="eastAsia"/>
          <w:color w:val="auto"/>
        </w:rPr>
        <w:t>项目达成年度指标</w:t>
      </w:r>
      <w:r>
        <w:rPr>
          <w:rFonts w:hint="eastAsia"/>
          <w:color w:val="auto"/>
          <w:lang w:eastAsia="zh-CN"/>
        </w:rPr>
        <w:t>。</w:t>
      </w:r>
    </w:p>
    <w:p>
      <w:pPr>
        <w:pStyle w:val="7"/>
        <w:ind w:firstLine="643" w:firstLineChars="200"/>
        <w:rPr>
          <w:rFonts w:hint="eastAsia" w:ascii="宋体" w:hAnsi="宋体" w:eastAsia="宋体" w:cs="宋体"/>
          <w:b/>
          <w:bCs/>
          <w:lang w:val="en-US" w:eastAsia="zh-CN"/>
        </w:rPr>
      </w:pPr>
      <w:r>
        <w:rPr>
          <w:rFonts w:hint="eastAsia" w:ascii="宋体" w:hAnsi="宋体" w:eastAsia="宋体" w:cs="宋体"/>
          <w:b/>
          <w:bCs/>
          <w:lang w:val="en-US" w:eastAsia="zh-CN"/>
        </w:rPr>
        <w:t>四</w:t>
      </w:r>
      <w:r>
        <w:rPr>
          <w:rFonts w:hint="eastAsia" w:ascii="宋体" w:hAnsi="宋体" w:eastAsia="宋体" w:cs="宋体"/>
          <w:b/>
          <w:bCs/>
          <w:sz w:val="32"/>
          <w:szCs w:val="32"/>
        </w:rPr>
        <w:t>、</w:t>
      </w:r>
      <w:r>
        <w:rPr>
          <w:rFonts w:hint="eastAsia" w:ascii="宋体" w:hAnsi="宋体" w:eastAsia="宋体" w:cs="宋体"/>
          <w:b/>
          <w:bCs/>
          <w:lang w:val="en-US" w:eastAsia="zh-CN"/>
        </w:rPr>
        <w:t>绩效评价指标分析</w:t>
      </w:r>
    </w:p>
    <w:p>
      <w:pPr>
        <w:pStyle w:val="7"/>
        <w:spacing w:line="360" w:lineRule="auto"/>
        <w:rPr>
          <w:rFonts w:hint="eastAsia" w:ascii="仿宋_GB2312" w:eastAsia="仿宋_GB2312"/>
          <w:b w:val="0"/>
          <w:bCs w:val="0"/>
        </w:rPr>
      </w:pPr>
      <w:bookmarkStart w:id="10" w:name="_Toc68703838"/>
      <w:r>
        <w:rPr>
          <w:rFonts w:hint="eastAsia" w:ascii="仿宋_GB2312" w:eastAsia="仿宋_GB2312"/>
          <w:b w:val="0"/>
          <w:bCs w:val="0"/>
        </w:rPr>
        <w:t>（一）项目决策情况。</w:t>
      </w:r>
      <w:bookmarkEnd w:id="10"/>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rFonts w:hint="default" w:eastAsia="仿宋_GB2312"/>
          <w:color w:val="auto"/>
          <w:lang w:val="en-US" w:eastAsia="zh-CN"/>
        </w:rPr>
      </w:pPr>
      <w:r>
        <w:rPr>
          <w:rFonts w:hint="eastAsia"/>
          <w:color w:val="auto"/>
          <w:lang w:eastAsia="zh-CN"/>
        </w:rPr>
        <w:t>我单位</w:t>
      </w:r>
      <w:r>
        <w:rPr>
          <w:rFonts w:hint="eastAsia"/>
          <w:color w:val="auto"/>
        </w:rPr>
        <w:t>项目立项依据</w:t>
      </w:r>
      <w:r>
        <w:rPr>
          <w:rFonts w:hint="eastAsia"/>
          <w:color w:val="auto"/>
          <w:lang w:eastAsia="zh-CN"/>
        </w:rPr>
        <w:t>伊州财社【</w:t>
      </w:r>
      <w:r>
        <w:rPr>
          <w:rFonts w:hint="eastAsia"/>
          <w:color w:val="auto"/>
          <w:lang w:val="en-US" w:eastAsia="zh-CN"/>
        </w:rPr>
        <w:t>2022</w:t>
      </w:r>
      <w:r>
        <w:rPr>
          <w:rFonts w:hint="eastAsia"/>
          <w:color w:val="auto"/>
          <w:lang w:eastAsia="zh-CN"/>
        </w:rPr>
        <w:t>】</w:t>
      </w:r>
      <w:r>
        <w:rPr>
          <w:rFonts w:hint="eastAsia"/>
          <w:color w:val="auto"/>
          <w:lang w:val="en-US" w:eastAsia="zh-CN"/>
        </w:rPr>
        <w:t>1号文件精神。</w:t>
      </w:r>
      <w:r>
        <w:rPr>
          <w:rFonts w:hint="eastAsia"/>
          <w:color w:val="auto"/>
        </w:rPr>
        <w:t>项目立项符合国家法律法规、国民经济发展规划和相关政策；项目立项符合行业发展规划和政策要求；项目立项与部门职责范围相符，属于部门履职所需</w:t>
      </w:r>
      <w:r>
        <w:rPr>
          <w:rFonts w:hint="eastAsia"/>
          <w:color w:val="auto"/>
          <w:lang w:eastAsia="zh-CN"/>
        </w:rPr>
        <w:t>；</w:t>
      </w:r>
      <w:r>
        <w:rPr>
          <w:rFonts w:hint="eastAsia"/>
          <w:color w:val="auto"/>
        </w:rPr>
        <w:t>项目属于公共财政支持范围，符合中央、地方事权支出责任划分原则；项目</w:t>
      </w:r>
      <w:r>
        <w:rPr>
          <w:rFonts w:hint="eastAsia"/>
          <w:color w:val="auto"/>
          <w:lang w:eastAsia="zh-CN"/>
        </w:rPr>
        <w:t>不</w:t>
      </w:r>
      <w:r>
        <w:rPr>
          <w:rFonts w:hint="eastAsia"/>
          <w:color w:val="auto"/>
        </w:rPr>
        <w:t>与相关部门同类项目或部门内部相关项目重复。</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立项程序规范性</w:t>
      </w:r>
    </w:p>
    <w:p>
      <w:pPr>
        <w:spacing w:line="360" w:lineRule="auto"/>
        <w:ind w:firstLine="600" w:firstLineChars="200"/>
        <w:rPr>
          <w:color w:val="auto"/>
        </w:rPr>
      </w:pPr>
      <w:r>
        <w:rPr>
          <w:rFonts w:hint="eastAsia"/>
          <w:color w:val="auto"/>
          <w:lang w:eastAsia="zh-CN"/>
        </w:rPr>
        <w:t>我单位</w:t>
      </w:r>
      <w:r>
        <w:rPr>
          <w:rFonts w:hint="eastAsia"/>
          <w:color w:val="auto"/>
        </w:rPr>
        <w:t>项目</w:t>
      </w:r>
      <w:r>
        <w:rPr>
          <w:rFonts w:hint="eastAsia"/>
          <w:color w:val="auto"/>
          <w:lang w:eastAsia="zh-CN"/>
        </w:rPr>
        <w:t>严格</w:t>
      </w:r>
      <w:r>
        <w:rPr>
          <w:rFonts w:hint="eastAsia"/>
          <w:color w:val="auto"/>
        </w:rPr>
        <w:t>按照规定的程序申请设立；审批文件、材料符合相关要求；事前已经过必要的可行性研究、专家论证、风险评估、绩效评估、集体决策。</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绩效目标合理性</w:t>
      </w:r>
    </w:p>
    <w:p>
      <w:pPr>
        <w:spacing w:line="360" w:lineRule="auto"/>
        <w:ind w:firstLine="600" w:firstLineChars="200"/>
        <w:rPr>
          <w:color w:val="auto"/>
        </w:rPr>
      </w:pPr>
      <w:r>
        <w:rPr>
          <w:rFonts w:hint="eastAsia" w:ascii="Times New Roman" w:hAnsi="Times New Roman" w:cs="Times New Roman"/>
          <w:color w:val="auto"/>
          <w:lang w:val="en-US" w:eastAsia="zh-CN"/>
        </w:rPr>
        <w:t>残疾人事业发展补助资金</w:t>
      </w:r>
      <w:r>
        <w:rPr>
          <w:rFonts w:hint="eastAsia"/>
          <w:color w:val="auto"/>
        </w:rPr>
        <w:t>项目设立了项目绩效目标，与开展残疾人基本康复服务工作，为经济困难的视力、听力、肢体、智力、精神残疾人提供基本康复服务。为0-6岁的残疾儿童提供康复救助，努力提高受助残疾人生活自理和社会活动参与能力。建立扶残助学长效机制，保障家庭经济困难残疾学生和残疾人家庭子女顺利完成学业。为困难残疾人家庭实施无障碍改造，包括地面平整及坡化、低位灶台（盲人家庭灶台有煤气泄漏报警装置）、房门改造、坐便器改造、安装卫生间热水器、扶手或抓杆（洗手池扶手、坐便器扶手、沐椅扶手）浴凳及改善残疾人家居卫生条件的其他设施等无障碍设施改造。通过“阳光家园计划”项目年度工作的实施，帮助残疾人得到寄宿制托养和日间照料具有相关性，项目的预期产出效益和效果也均能符合正常的业绩水平，并且与预算确定的项目投资额或资金量相匹配。</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绩效指标明确性</w:t>
      </w:r>
    </w:p>
    <w:p>
      <w:pPr>
        <w:spacing w:line="360" w:lineRule="auto"/>
        <w:ind w:firstLine="600" w:firstLineChars="200"/>
        <w:rPr>
          <w:color w:val="auto"/>
        </w:rPr>
      </w:pPr>
      <w:bookmarkStart w:id="11" w:name="_Hlk68699917"/>
      <w:r>
        <w:rPr>
          <w:rFonts w:hint="eastAsia" w:ascii="Times New Roman" w:hAnsi="Times New Roman" w:cs="Times New Roman"/>
          <w:color w:val="auto"/>
          <w:lang w:val="en-US" w:eastAsia="zh-CN"/>
        </w:rPr>
        <w:t>残疾人事业发展补助资金</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6</w:t>
      </w:r>
      <w:r>
        <w:rPr>
          <w:rFonts w:hint="eastAsia"/>
          <w:color w:val="auto"/>
        </w:rPr>
        <w:t>条，三级指标共</w:t>
      </w:r>
      <w:r>
        <w:rPr>
          <w:rFonts w:hint="eastAsia"/>
          <w:color w:val="auto"/>
          <w:lang w:val="en-US" w:eastAsia="zh-CN"/>
        </w:rPr>
        <w:t>21</w:t>
      </w:r>
      <w:r>
        <w:rPr>
          <w:rFonts w:hint="eastAsia"/>
          <w:color w:val="auto"/>
        </w:rPr>
        <w:t>条，其中量化指标条数共</w:t>
      </w:r>
      <w:r>
        <w:rPr>
          <w:rFonts w:hint="eastAsia"/>
          <w:color w:val="auto"/>
          <w:lang w:val="en-US" w:eastAsia="zh-CN"/>
        </w:rPr>
        <w:t>17</w:t>
      </w:r>
      <w:r>
        <w:rPr>
          <w:rFonts w:hint="eastAsia"/>
          <w:color w:val="auto"/>
        </w:rPr>
        <w:t>条，所有绩效指标均通过清晰、可衡量的指标值予以体现，并且做到了与项目目标任务数或计划数相对应。</w:t>
      </w:r>
      <w:bookmarkEnd w:id="11"/>
    </w:p>
    <w:p>
      <w:pPr>
        <w:spacing w:line="360" w:lineRule="auto"/>
        <w:ind w:firstLine="600" w:firstLineChars="200"/>
        <w:jc w:val="left"/>
        <w:rPr>
          <w:rFonts w:hint="eastAsia"/>
        </w:rPr>
      </w:pPr>
      <w:r>
        <w:rPr>
          <w:rFonts w:hint="eastAsia"/>
        </w:rPr>
        <w:t>5</w:t>
      </w:r>
      <w:r>
        <w:rPr>
          <w:rFonts w:hint="eastAsia"/>
          <w:lang w:val="en-US" w:eastAsia="zh-CN"/>
        </w:rPr>
        <w:t>.</w:t>
      </w:r>
      <w:r>
        <w:rPr>
          <w:rFonts w:hint="eastAsia"/>
        </w:rPr>
        <w:t>预算编制科学性</w:t>
      </w:r>
    </w:p>
    <w:p>
      <w:pPr>
        <w:spacing w:line="360" w:lineRule="auto"/>
        <w:ind w:firstLine="600" w:firstLineChars="200"/>
        <w:rPr>
          <w:color w:val="auto"/>
        </w:rPr>
      </w:pPr>
      <w:r>
        <w:rPr>
          <w:rFonts w:hint="eastAsia"/>
          <w:color w:val="auto"/>
          <w:lang w:eastAsia="zh-CN"/>
        </w:rPr>
        <w:t>我单位</w:t>
      </w:r>
      <w:r>
        <w:rPr>
          <w:rFonts w:hint="eastAsia"/>
          <w:color w:val="auto"/>
        </w:rPr>
        <w:t>预算编制经过科学论证；预算内容与项目内容</w:t>
      </w:r>
      <w:r>
        <w:rPr>
          <w:rFonts w:hint="eastAsia"/>
          <w:color w:val="auto"/>
          <w:lang w:eastAsia="zh-CN"/>
        </w:rPr>
        <w:t>完全</w:t>
      </w:r>
      <w:r>
        <w:rPr>
          <w:rFonts w:hint="eastAsia"/>
          <w:color w:val="auto"/>
        </w:rPr>
        <w:t>匹配；</w:t>
      </w:r>
    </w:p>
    <w:p>
      <w:pPr>
        <w:spacing w:line="360" w:lineRule="auto"/>
        <w:rPr>
          <w:color w:val="auto"/>
        </w:rPr>
      </w:pPr>
      <w:r>
        <w:rPr>
          <w:rFonts w:hint="eastAsia"/>
          <w:color w:val="auto"/>
        </w:rPr>
        <w:t>预算额度测算依据充分，</w:t>
      </w:r>
      <w:r>
        <w:rPr>
          <w:rFonts w:hint="eastAsia"/>
          <w:color w:val="auto"/>
          <w:lang w:eastAsia="zh-CN"/>
        </w:rPr>
        <w:t>严格</w:t>
      </w:r>
      <w:r>
        <w:rPr>
          <w:rFonts w:hint="eastAsia"/>
          <w:color w:val="auto"/>
        </w:rPr>
        <w:t>按照标准编制；预算确定的项目投资额或资金量与工作任务相匹配。</w:t>
      </w:r>
    </w:p>
    <w:p>
      <w:pPr>
        <w:spacing w:line="360" w:lineRule="auto"/>
        <w:ind w:firstLine="600" w:firstLineChars="200"/>
        <w:jc w:val="left"/>
        <w:rPr>
          <w:rFonts w:hint="eastAsia"/>
        </w:rPr>
      </w:pPr>
      <w:r>
        <w:rPr>
          <w:rFonts w:hint="eastAsia"/>
        </w:rPr>
        <w:t>6</w:t>
      </w:r>
      <w:r>
        <w:rPr>
          <w:rFonts w:hint="eastAsia"/>
          <w:lang w:val="en-US" w:eastAsia="zh-CN"/>
        </w:rPr>
        <w:t>.</w:t>
      </w:r>
      <w:r>
        <w:rPr>
          <w:rFonts w:hint="eastAsia"/>
        </w:rPr>
        <w:t>资金分配合理性</w:t>
      </w:r>
    </w:p>
    <w:p>
      <w:pPr>
        <w:spacing w:line="360" w:lineRule="auto"/>
        <w:ind w:firstLine="600" w:firstLineChars="200"/>
        <w:rPr>
          <w:color w:val="auto"/>
        </w:rPr>
      </w:pPr>
      <w:r>
        <w:rPr>
          <w:rFonts w:hint="eastAsia"/>
          <w:color w:val="auto"/>
          <w:lang w:eastAsia="zh-CN"/>
        </w:rPr>
        <w:t>我单位</w:t>
      </w:r>
      <w:r>
        <w:rPr>
          <w:rFonts w:hint="eastAsia"/>
          <w:color w:val="auto"/>
        </w:rPr>
        <w:t>预算资金分配依据充分；资金分配额度合理，与项目单位或地方实际相适应。</w:t>
      </w:r>
    </w:p>
    <w:p>
      <w:pPr>
        <w:pStyle w:val="7"/>
        <w:spacing w:line="360" w:lineRule="auto"/>
        <w:rPr>
          <w:rFonts w:hint="eastAsia" w:ascii="仿宋_GB2312" w:eastAsia="仿宋_GB2312"/>
          <w:b w:val="0"/>
          <w:bCs w:val="0"/>
        </w:rPr>
      </w:pPr>
      <w:bookmarkStart w:id="12" w:name="_Toc68703839"/>
      <w:r>
        <w:rPr>
          <w:rFonts w:hint="eastAsia" w:ascii="仿宋_GB2312" w:eastAsia="仿宋_GB2312"/>
          <w:b w:val="0"/>
          <w:bCs w:val="0"/>
        </w:rPr>
        <w:t>（二）项目过程情况。</w:t>
      </w:r>
      <w:bookmarkEnd w:id="12"/>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0</w:t>
      </w:r>
      <w:r>
        <w:rPr>
          <w:rFonts w:hint="eastAsia"/>
          <w:color w:val="auto"/>
        </w:rPr>
        <w:t>万元，实际到位资金</w:t>
      </w:r>
      <w:r>
        <w:rPr>
          <w:rFonts w:hint="eastAsia"/>
          <w:color w:val="auto"/>
          <w:lang w:val="en-US" w:eastAsia="zh-CN"/>
        </w:rPr>
        <w:t>53.45</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0</w:t>
      </w:r>
      <w:r>
        <w:rPr>
          <w:rFonts w:hint="eastAsia"/>
          <w:color w:val="auto"/>
        </w:rPr>
        <w:t>万元，年中追加资金</w:t>
      </w:r>
      <w:r>
        <w:rPr>
          <w:rFonts w:hint="eastAsia"/>
          <w:color w:val="auto"/>
          <w:lang w:val="en-US" w:eastAsia="zh-CN"/>
        </w:rPr>
        <w:t>53.45</w:t>
      </w:r>
      <w:r>
        <w:rPr>
          <w:rFonts w:hint="eastAsia"/>
          <w:color w:val="auto"/>
        </w:rPr>
        <w:t>万元</w:t>
      </w:r>
      <w:r>
        <w:rPr>
          <w:rFonts w:hint="eastAsia"/>
          <w:color w:val="auto"/>
          <w:lang w:eastAsia="zh-CN"/>
        </w:rPr>
        <w:t>，</w:t>
      </w:r>
      <w:r>
        <w:rPr>
          <w:rFonts w:hint="eastAsia"/>
          <w:color w:val="auto"/>
        </w:rPr>
        <w:t>全年预算数</w:t>
      </w:r>
      <w:r>
        <w:rPr>
          <w:rFonts w:hint="eastAsia"/>
          <w:color w:val="auto"/>
          <w:lang w:val="en-US" w:eastAsia="zh-CN"/>
        </w:rPr>
        <w:t>53.45</w:t>
      </w:r>
      <w:r>
        <w:rPr>
          <w:rFonts w:hint="eastAsia"/>
          <w:color w:val="auto"/>
        </w:rPr>
        <w:t>万元，全年执行数</w:t>
      </w:r>
      <w:r>
        <w:rPr>
          <w:rFonts w:hint="eastAsia"/>
          <w:color w:val="auto"/>
          <w:lang w:val="en-US" w:eastAsia="zh-CN"/>
        </w:rPr>
        <w:t>53.45</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资金使用合规性</w:t>
      </w:r>
    </w:p>
    <w:p>
      <w:pPr>
        <w:spacing w:line="360" w:lineRule="auto"/>
        <w:ind w:firstLine="600" w:firstLineChars="200"/>
        <w:rPr>
          <w:color w:val="auto"/>
        </w:rPr>
      </w:pPr>
      <w:r>
        <w:rPr>
          <w:rFonts w:hint="eastAsia"/>
          <w:color w:val="auto"/>
          <w:lang w:eastAsia="zh-CN"/>
        </w:rPr>
        <w:t>我单位资金</w:t>
      </w: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资金不</w:t>
      </w:r>
      <w:r>
        <w:rPr>
          <w:rFonts w:hint="eastAsia"/>
          <w:color w:val="auto"/>
        </w:rPr>
        <w:t>存在截留、挤占、挪用、虚列支出等情况。</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管理制度健全性</w:t>
      </w:r>
    </w:p>
    <w:p>
      <w:pPr>
        <w:spacing w:line="360" w:lineRule="auto"/>
        <w:ind w:firstLine="600" w:firstLineChars="200"/>
        <w:rPr>
          <w:color w:val="auto"/>
        </w:rPr>
      </w:pPr>
      <w:r>
        <w:rPr>
          <w:rFonts w:hint="eastAsia"/>
          <w:color w:val="auto"/>
          <w:lang w:eastAsia="zh-CN"/>
        </w:rPr>
        <w:t>我单位</w:t>
      </w:r>
      <w:r>
        <w:rPr>
          <w:rFonts w:hint="eastAsia"/>
          <w:color w:val="auto"/>
        </w:rPr>
        <w:t>已制定相应的财务和业务管理制度；财务和业务管理制度合法、合规、完整。</w:t>
      </w:r>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制度执行有效性</w:t>
      </w:r>
    </w:p>
    <w:p>
      <w:pPr>
        <w:spacing w:line="360" w:lineRule="auto"/>
        <w:ind w:firstLine="600" w:firstLineChars="200"/>
        <w:rPr>
          <w:color w:val="auto"/>
        </w:rPr>
      </w:pPr>
      <w:r>
        <w:rPr>
          <w:rFonts w:hint="eastAsia"/>
          <w:color w:val="auto"/>
          <w:lang w:eastAsia="zh-CN"/>
        </w:rPr>
        <w:t>我单位</w:t>
      </w:r>
      <w:r>
        <w:rPr>
          <w:rFonts w:hint="eastAsia"/>
          <w:color w:val="auto"/>
        </w:rPr>
        <w:t>遵守相关法律法规和相关管理规定；</w:t>
      </w:r>
      <w:r>
        <w:rPr>
          <w:rFonts w:hint="eastAsia"/>
          <w:color w:val="auto"/>
          <w:lang w:eastAsia="zh-CN"/>
        </w:rPr>
        <w:t>不存在</w:t>
      </w:r>
      <w:r>
        <w:rPr>
          <w:rFonts w:hint="eastAsia"/>
          <w:color w:val="auto"/>
        </w:rPr>
        <w:t>项目调整及支出调整；项目合同书、验收报告、技术鉴定等资料齐全并及时归档；项目实施的人员条件、场地设备、信息支撑等落实到位。</w:t>
      </w:r>
    </w:p>
    <w:p>
      <w:pPr>
        <w:pStyle w:val="7"/>
        <w:spacing w:line="360" w:lineRule="auto"/>
        <w:rPr>
          <w:rFonts w:hint="eastAsia" w:ascii="仿宋_GB2312" w:eastAsia="仿宋_GB2312"/>
          <w:b w:val="0"/>
          <w:bCs w:val="0"/>
        </w:rPr>
      </w:pPr>
      <w:bookmarkStart w:id="13" w:name="_Toc68703840"/>
      <w:r>
        <w:rPr>
          <w:rFonts w:hint="eastAsia" w:ascii="仿宋_GB2312" w:eastAsia="仿宋_GB2312"/>
          <w:b w:val="0"/>
          <w:bCs w:val="0"/>
        </w:rPr>
        <w:t>（三）项目产出情况。</w:t>
      </w:r>
      <w:bookmarkEnd w:id="13"/>
    </w:p>
    <w:p>
      <w:pPr>
        <w:spacing w:line="360" w:lineRule="auto"/>
        <w:ind w:firstLine="600" w:firstLineChars="200"/>
        <w:rPr>
          <w:color w:val="auto"/>
        </w:rPr>
      </w:pPr>
      <w:r>
        <w:rPr>
          <w:rFonts w:hint="eastAsia"/>
          <w:color w:val="auto"/>
        </w:rPr>
        <w:t>1</w:t>
      </w:r>
      <w:r>
        <w:rPr>
          <w:rFonts w:hint="eastAsia"/>
          <w:color w:val="auto"/>
          <w:lang w:val="en-US" w:eastAsia="zh-CN"/>
        </w:rPr>
        <w:t>.</w:t>
      </w:r>
      <w:r>
        <w:rPr>
          <w:rFonts w:hint="eastAsia"/>
          <w:color w:val="auto"/>
        </w:rPr>
        <w:t>数量指标：指标1：残疾人基本康复服务人数，指标值：</w:t>
      </w:r>
      <w:r>
        <w:rPr>
          <w:rFonts w:hint="eastAsia"/>
          <w:color w:val="auto"/>
          <w:lang w:eastAsia="zh-CN"/>
        </w:rPr>
        <w:t>≥</w:t>
      </w:r>
      <w:r>
        <w:rPr>
          <w:rFonts w:hint="eastAsia"/>
          <w:color w:val="auto"/>
          <w:lang w:val="en-US" w:eastAsia="zh-CN"/>
        </w:rPr>
        <w:t>250人</w:t>
      </w:r>
      <w:r>
        <w:rPr>
          <w:rFonts w:hint="eastAsia"/>
          <w:color w:val="auto"/>
        </w:rPr>
        <w:t>，实际完成值</w:t>
      </w:r>
      <w:r>
        <w:rPr>
          <w:rFonts w:hint="eastAsia"/>
          <w:color w:val="auto"/>
          <w:lang w:val="en-US" w:eastAsia="zh-CN"/>
        </w:rPr>
        <w:t>250人</w:t>
      </w:r>
      <w:r>
        <w:rPr>
          <w:rFonts w:hint="eastAsia"/>
          <w:color w:val="auto"/>
        </w:rPr>
        <w:t>，指标完成率</w:t>
      </w:r>
      <w:r>
        <w:rPr>
          <w:rFonts w:hint="eastAsia"/>
          <w:color w:val="auto"/>
          <w:lang w:val="en-US" w:eastAsia="zh-CN"/>
        </w:rPr>
        <w:t>100</w:t>
      </w:r>
      <w:r>
        <w:rPr>
          <w:rFonts w:hint="eastAsia"/>
          <w:color w:val="auto"/>
        </w:rPr>
        <w:t>%；指标2：残疾儿童康复救助人数，指标值：</w:t>
      </w:r>
      <w:r>
        <w:rPr>
          <w:rFonts w:hint="eastAsia"/>
          <w:color w:val="auto"/>
          <w:lang w:val="en-US" w:eastAsia="zh-CN"/>
        </w:rPr>
        <w:t>=6人</w:t>
      </w:r>
      <w:r>
        <w:rPr>
          <w:rFonts w:hint="eastAsia"/>
          <w:color w:val="auto"/>
        </w:rPr>
        <w:t>，实际完成值</w:t>
      </w:r>
      <w:r>
        <w:rPr>
          <w:rFonts w:hint="eastAsia"/>
          <w:color w:val="auto"/>
          <w:lang w:val="en-US" w:eastAsia="zh-CN"/>
        </w:rPr>
        <w:t>6人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：困难重度残疾人家庭无障碍改造户数，指标值：</w:t>
      </w:r>
      <w:r>
        <w:rPr>
          <w:rFonts w:hint="eastAsia"/>
          <w:color w:val="auto"/>
          <w:lang w:eastAsia="zh-CN"/>
        </w:rPr>
        <w:t>≥</w:t>
      </w:r>
      <w:r>
        <w:rPr>
          <w:rFonts w:hint="eastAsia"/>
          <w:color w:val="auto"/>
          <w:lang w:val="en-US" w:eastAsia="zh-CN"/>
        </w:rPr>
        <w:t>70户</w:t>
      </w:r>
      <w:r>
        <w:rPr>
          <w:rFonts w:hint="eastAsia"/>
          <w:color w:val="auto"/>
        </w:rPr>
        <w:t>，实际完成值</w:t>
      </w:r>
      <w:r>
        <w:rPr>
          <w:rFonts w:hint="eastAsia"/>
          <w:color w:val="auto"/>
          <w:lang w:val="en-US" w:eastAsia="zh-CN"/>
        </w:rPr>
        <w:t>70户</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4</w:t>
      </w:r>
      <w:r>
        <w:rPr>
          <w:rFonts w:hint="eastAsia"/>
          <w:color w:val="auto"/>
        </w:rPr>
        <w:t>：托养照料残疾人人数，指标值：</w:t>
      </w:r>
      <w:r>
        <w:rPr>
          <w:rFonts w:hint="eastAsia"/>
          <w:color w:val="auto"/>
          <w:lang w:eastAsia="zh-CN"/>
        </w:rPr>
        <w:t>≥</w:t>
      </w:r>
      <w:r>
        <w:rPr>
          <w:rFonts w:hint="eastAsia"/>
          <w:color w:val="auto"/>
          <w:lang w:val="en-US" w:eastAsia="zh-CN"/>
        </w:rPr>
        <w:t>90人</w:t>
      </w:r>
      <w:r>
        <w:rPr>
          <w:rFonts w:hint="eastAsia"/>
          <w:color w:val="auto"/>
          <w:lang w:eastAsia="zh-CN"/>
        </w:rPr>
        <w:t>，实际完成值</w:t>
      </w:r>
      <w:r>
        <w:rPr>
          <w:rFonts w:hint="eastAsia"/>
          <w:color w:val="auto"/>
          <w:lang w:val="en-US" w:eastAsia="zh-CN"/>
        </w:rPr>
        <w:t>90人</w:t>
      </w:r>
      <w:r>
        <w:rPr>
          <w:rFonts w:hint="eastAsia"/>
          <w:color w:val="auto"/>
          <w:lang w:eastAsia="zh-CN"/>
        </w:rPr>
        <w:t>，指标完成率</w:t>
      </w:r>
      <w:r>
        <w:rPr>
          <w:rFonts w:hint="eastAsia"/>
          <w:color w:val="auto"/>
          <w:lang w:val="en-US" w:eastAsia="zh-CN"/>
        </w:rPr>
        <w:t>100</w:t>
      </w:r>
      <w:r>
        <w:rPr>
          <w:rFonts w:hint="eastAsia"/>
          <w:color w:val="auto"/>
          <w:lang w:eastAsia="zh-CN"/>
        </w:rPr>
        <w:t>%；指标</w:t>
      </w:r>
      <w:r>
        <w:rPr>
          <w:rFonts w:hint="eastAsia"/>
          <w:color w:val="auto"/>
          <w:lang w:val="en-US" w:eastAsia="zh-CN"/>
        </w:rPr>
        <w:t>5</w:t>
      </w:r>
      <w:r>
        <w:rPr>
          <w:rFonts w:hint="eastAsia"/>
          <w:color w:val="auto"/>
          <w:lang w:eastAsia="zh-CN"/>
        </w:rPr>
        <w:t>：资助困难残疾大学生人数，</w:t>
      </w:r>
      <w:r>
        <w:rPr>
          <w:rFonts w:hint="eastAsia"/>
          <w:color w:val="auto"/>
        </w:rPr>
        <w:t>指标值：</w:t>
      </w:r>
      <w:r>
        <w:rPr>
          <w:rFonts w:hint="eastAsia"/>
          <w:color w:val="auto"/>
          <w:lang w:val="en-US" w:eastAsia="zh-CN"/>
        </w:rPr>
        <w:t>=0人</w:t>
      </w:r>
      <w:r>
        <w:rPr>
          <w:rFonts w:hint="eastAsia"/>
          <w:color w:val="auto"/>
        </w:rPr>
        <w:t>，实际完成值</w:t>
      </w:r>
      <w:r>
        <w:rPr>
          <w:rFonts w:hint="eastAsia"/>
          <w:color w:val="auto"/>
          <w:lang w:val="en-US" w:eastAsia="zh-CN"/>
        </w:rPr>
        <w:t>0人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FF0000"/>
        </w:rPr>
      </w:pPr>
      <w:r>
        <w:rPr>
          <w:color w:val="auto"/>
        </w:rPr>
        <w:t>2</w:t>
      </w:r>
      <w:r>
        <w:rPr>
          <w:rFonts w:hint="eastAsia"/>
          <w:color w:val="auto"/>
          <w:lang w:val="en-US" w:eastAsia="zh-CN"/>
        </w:rPr>
        <w:t>.</w:t>
      </w:r>
      <w:r>
        <w:rPr>
          <w:rFonts w:hint="eastAsia"/>
          <w:color w:val="auto"/>
        </w:rPr>
        <w:t>质量指标：指标1：有需求的残疾人得到基本康复服务率，指标值：</w:t>
      </w:r>
      <w:r>
        <w:rPr>
          <w:rFonts w:hint="eastAsia"/>
          <w:color w:val="auto"/>
          <w:lang w:eastAsia="zh-CN"/>
        </w:rPr>
        <w:t>≥</w:t>
      </w:r>
      <w:r>
        <w:rPr>
          <w:rFonts w:hint="eastAsia"/>
          <w:color w:val="auto"/>
          <w:lang w:val="en-US" w:eastAsia="zh-CN"/>
        </w:rPr>
        <w:t>82%</w:t>
      </w:r>
      <w:r>
        <w:rPr>
          <w:rFonts w:hint="eastAsia"/>
          <w:color w:val="auto"/>
        </w:rPr>
        <w:t>，实际完成值</w:t>
      </w:r>
      <w:r>
        <w:rPr>
          <w:rFonts w:hint="eastAsia"/>
          <w:color w:val="auto"/>
          <w:lang w:val="en-US" w:eastAsia="zh-CN"/>
        </w:rPr>
        <w:t>82%</w:t>
      </w:r>
      <w:r>
        <w:rPr>
          <w:rFonts w:hint="eastAsia"/>
          <w:color w:val="auto"/>
        </w:rPr>
        <w:t>，指标完成率</w:t>
      </w:r>
      <w:r>
        <w:rPr>
          <w:rFonts w:hint="eastAsia"/>
          <w:color w:val="auto"/>
          <w:lang w:val="en-US" w:eastAsia="zh-CN"/>
        </w:rPr>
        <w:t>100</w:t>
      </w:r>
      <w:r>
        <w:rPr>
          <w:rFonts w:hint="eastAsia"/>
          <w:color w:val="auto"/>
        </w:rPr>
        <w:t>%；指标2：残疾学生补助发放率，指标值：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：残疾人家庭无障碍改造合格率，指标值：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val="en-US" w:eastAsia="zh-CN"/>
        </w:rPr>
        <w:t>。</w:t>
      </w:r>
    </w:p>
    <w:p>
      <w:pPr>
        <w:spacing w:line="360" w:lineRule="auto"/>
        <w:ind w:firstLine="600" w:firstLineChars="200"/>
        <w:rPr>
          <w:color w:val="FF0000"/>
        </w:rPr>
      </w:pPr>
      <w:r>
        <w:rPr>
          <w:rFonts w:hint="eastAsia"/>
          <w:color w:val="auto"/>
        </w:rPr>
        <w:t>3</w:t>
      </w:r>
      <w:r>
        <w:rPr>
          <w:rFonts w:hint="eastAsia"/>
          <w:color w:val="auto"/>
          <w:lang w:val="en-US" w:eastAsia="zh-CN"/>
        </w:rPr>
        <w:t>.</w:t>
      </w:r>
      <w:r>
        <w:rPr>
          <w:rFonts w:hint="eastAsia"/>
          <w:color w:val="auto"/>
        </w:rPr>
        <w:t>时效指标：指标1：困难重度残疾人家庭无障碍改造项目完成时间，指标值：</w:t>
      </w:r>
      <w:r>
        <w:rPr>
          <w:rFonts w:hint="eastAsia"/>
          <w:color w:val="auto"/>
          <w:lang w:val="en-US" w:eastAsia="zh-CN"/>
        </w:rPr>
        <w:t>2022年12月</w:t>
      </w:r>
      <w:r>
        <w:rPr>
          <w:rFonts w:hint="eastAsia"/>
          <w:color w:val="auto"/>
        </w:rPr>
        <w:t>，实际完成值</w:t>
      </w:r>
      <w:r>
        <w:rPr>
          <w:rFonts w:hint="eastAsia"/>
          <w:color w:val="auto"/>
          <w:lang w:val="en-US" w:eastAsia="zh-CN"/>
        </w:rPr>
        <w:t>2022年12月</w:t>
      </w:r>
      <w:r>
        <w:rPr>
          <w:rFonts w:hint="eastAsia"/>
          <w:color w:val="auto"/>
        </w:rPr>
        <w:t>，指标完成率</w:t>
      </w:r>
      <w:r>
        <w:rPr>
          <w:rFonts w:hint="eastAsia"/>
          <w:color w:val="auto"/>
          <w:lang w:val="en-US" w:eastAsia="zh-CN"/>
        </w:rPr>
        <w:t>100</w:t>
      </w:r>
      <w:r>
        <w:rPr>
          <w:rFonts w:hint="eastAsia"/>
          <w:color w:val="auto"/>
        </w:rPr>
        <w:t>%；指标2：补助资金发放及时率，指标值：</w:t>
      </w:r>
      <w:r>
        <w:rPr>
          <w:rFonts w:hint="eastAsia"/>
          <w:color w:val="auto"/>
          <w:lang w:eastAsia="zh-CN"/>
        </w:rPr>
        <w:t>≥</w:t>
      </w:r>
      <w:r>
        <w:rPr>
          <w:rFonts w:hint="eastAsia"/>
          <w:color w:val="auto"/>
          <w:lang w:val="en-US" w:eastAsia="zh-CN"/>
        </w:rPr>
        <w:t>90%</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val="en-US"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指标1：残疾人基本康复服务标准，指标值：</w:t>
      </w:r>
      <w:r>
        <w:rPr>
          <w:rFonts w:hint="eastAsia"/>
          <w:color w:val="auto"/>
          <w:lang w:val="en-US" w:eastAsia="zh-CN"/>
        </w:rPr>
        <w:t>=190元/人</w:t>
      </w:r>
      <w:r>
        <w:rPr>
          <w:rFonts w:hint="eastAsia"/>
          <w:color w:val="auto"/>
        </w:rPr>
        <w:t>，实际完成值</w:t>
      </w:r>
      <w:r>
        <w:rPr>
          <w:rFonts w:hint="eastAsia"/>
          <w:color w:val="auto"/>
          <w:lang w:val="en-US" w:eastAsia="zh-CN"/>
        </w:rPr>
        <w:t>190元/人</w:t>
      </w:r>
      <w:r>
        <w:rPr>
          <w:rFonts w:hint="eastAsia"/>
          <w:color w:val="auto"/>
        </w:rPr>
        <w:t>，指标完成率</w:t>
      </w:r>
      <w:r>
        <w:rPr>
          <w:rFonts w:hint="eastAsia"/>
          <w:color w:val="auto"/>
          <w:lang w:val="en-US" w:eastAsia="zh-CN"/>
        </w:rPr>
        <w:t>100</w:t>
      </w:r>
      <w:r>
        <w:rPr>
          <w:rFonts w:hint="eastAsia"/>
          <w:color w:val="auto"/>
        </w:rPr>
        <w:t>%；指标2：残疾儿童康复救助标准，指标值：</w:t>
      </w:r>
      <w:r>
        <w:rPr>
          <w:rFonts w:hint="eastAsia"/>
          <w:color w:val="auto"/>
          <w:lang w:val="en-US" w:eastAsia="zh-CN"/>
        </w:rPr>
        <w:t>=1.70万元/人</w:t>
      </w:r>
      <w:r>
        <w:rPr>
          <w:rFonts w:hint="eastAsia"/>
          <w:color w:val="auto"/>
        </w:rPr>
        <w:t>，实际完成值</w:t>
      </w:r>
      <w:r>
        <w:rPr>
          <w:rFonts w:hint="eastAsia"/>
          <w:color w:val="auto"/>
          <w:lang w:val="en-US" w:eastAsia="zh-CN"/>
        </w:rPr>
        <w:t>1.7万元/人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：困难重度残疾人家庭无障碍改造配套资金，指标值：</w:t>
      </w:r>
      <w:r>
        <w:rPr>
          <w:rFonts w:hint="eastAsia"/>
          <w:color w:val="auto"/>
          <w:lang w:val="en-US" w:eastAsia="zh-CN"/>
        </w:rPr>
        <w:t>=2500元/户</w:t>
      </w:r>
      <w:r>
        <w:rPr>
          <w:rFonts w:hint="eastAsia"/>
          <w:color w:val="auto"/>
        </w:rPr>
        <w:t>，实际完成值</w:t>
      </w:r>
      <w:r>
        <w:rPr>
          <w:rFonts w:hint="eastAsia"/>
          <w:color w:val="auto"/>
          <w:lang w:val="en-US" w:eastAsia="zh-CN"/>
        </w:rPr>
        <w:t>2500元/户</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4</w:t>
      </w:r>
      <w:r>
        <w:rPr>
          <w:rFonts w:hint="eastAsia"/>
          <w:color w:val="auto"/>
        </w:rPr>
        <w:t>：寄宿制托养补贴，指标值：</w:t>
      </w:r>
      <w:r>
        <w:rPr>
          <w:rFonts w:hint="eastAsia"/>
          <w:color w:val="auto"/>
          <w:lang w:val="en-US" w:eastAsia="zh-CN"/>
        </w:rPr>
        <w:t>=3000元/人/年</w:t>
      </w:r>
      <w:r>
        <w:rPr>
          <w:rFonts w:hint="eastAsia"/>
          <w:color w:val="auto"/>
        </w:rPr>
        <w:t>，实际完成值</w:t>
      </w:r>
      <w:r>
        <w:rPr>
          <w:rFonts w:hint="eastAsia"/>
          <w:color w:val="auto"/>
          <w:lang w:val="en-US" w:eastAsia="zh-CN"/>
        </w:rPr>
        <w:t>3000元/人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5</w:t>
      </w:r>
      <w:r>
        <w:rPr>
          <w:rFonts w:hint="eastAsia"/>
          <w:color w:val="auto"/>
        </w:rPr>
        <w:t>：日间照料站补贴，指标值：</w:t>
      </w:r>
      <w:r>
        <w:rPr>
          <w:rFonts w:hint="eastAsia"/>
          <w:color w:val="auto"/>
          <w:lang w:val="en-US" w:eastAsia="zh-CN"/>
        </w:rPr>
        <w:t>=2000元/人/年</w:t>
      </w:r>
      <w:r>
        <w:rPr>
          <w:rFonts w:hint="eastAsia"/>
          <w:color w:val="auto"/>
        </w:rPr>
        <w:t>，实际完成值</w:t>
      </w:r>
      <w:r>
        <w:rPr>
          <w:rFonts w:hint="eastAsia"/>
          <w:color w:val="auto"/>
          <w:lang w:val="en-US" w:eastAsia="zh-CN"/>
        </w:rPr>
        <w:t>2000元/人/年</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6</w:t>
      </w:r>
      <w:r>
        <w:rPr>
          <w:rFonts w:hint="eastAsia"/>
          <w:color w:val="auto"/>
        </w:rPr>
        <w:t>：资助残疾学生人均标准，指标值：</w:t>
      </w:r>
      <w:r>
        <w:rPr>
          <w:rFonts w:hint="eastAsia"/>
          <w:color w:val="auto"/>
          <w:lang w:val="en-US" w:eastAsia="zh-CN"/>
        </w:rPr>
        <w:t>=0元</w:t>
      </w:r>
      <w:r>
        <w:rPr>
          <w:rFonts w:hint="eastAsia"/>
          <w:color w:val="auto"/>
        </w:rPr>
        <w:t>，实际完成值</w:t>
      </w:r>
      <w:r>
        <w:rPr>
          <w:rFonts w:hint="eastAsia"/>
          <w:color w:val="auto"/>
          <w:lang w:val="en-US" w:eastAsia="zh-CN"/>
        </w:rPr>
        <w:t>0元</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7"/>
        <w:spacing w:line="360" w:lineRule="auto"/>
        <w:rPr>
          <w:rFonts w:hint="eastAsia" w:ascii="仿宋_GB2312" w:eastAsia="仿宋_GB2312"/>
          <w:b w:val="0"/>
          <w:bCs w:val="0"/>
        </w:rPr>
      </w:pPr>
      <w:bookmarkStart w:id="14" w:name="_Toc68703841"/>
      <w:r>
        <w:rPr>
          <w:rFonts w:hint="eastAsia" w:ascii="仿宋_GB2312" w:eastAsia="仿宋_GB2312"/>
          <w:b w:val="0"/>
          <w:bCs w:val="0"/>
        </w:rPr>
        <w:t>（四）项目效益情况。</w:t>
      </w:r>
      <w:bookmarkEnd w:id="14"/>
    </w:p>
    <w:p>
      <w:pPr>
        <w:spacing w:line="360" w:lineRule="auto"/>
        <w:ind w:firstLine="600" w:firstLineChars="200"/>
        <w:rPr>
          <w:rFonts w:hint="eastAsia" w:eastAsia="仿宋_GB2312"/>
          <w:color w:val="auto"/>
          <w:lang w:eastAsia="zh-CN"/>
        </w:rPr>
      </w:pPr>
      <w:r>
        <w:rPr>
          <w:rFonts w:hint="eastAsia"/>
          <w:color w:val="auto"/>
          <w:lang w:val="en-US" w:eastAsia="zh-CN"/>
        </w:rPr>
        <w:t>1.</w:t>
      </w:r>
      <w:r>
        <w:rPr>
          <w:rFonts w:hint="eastAsia"/>
          <w:color w:val="auto"/>
        </w:rPr>
        <w:t>社会效益指标：</w:t>
      </w:r>
      <w:r>
        <w:rPr>
          <w:rFonts w:hint="eastAsia"/>
          <w:color w:val="auto"/>
          <w:lang w:eastAsia="zh-CN"/>
        </w:rPr>
        <w:t>指标</w:t>
      </w:r>
      <w:r>
        <w:rPr>
          <w:rFonts w:hint="eastAsia"/>
          <w:color w:val="auto"/>
          <w:lang w:val="en-US" w:eastAsia="zh-CN"/>
        </w:rPr>
        <w:t>1：</w:t>
      </w:r>
      <w:r>
        <w:rPr>
          <w:rFonts w:hint="eastAsia"/>
          <w:color w:val="auto"/>
        </w:rPr>
        <w:t>残疾人康复服务水平</w:t>
      </w:r>
      <w:r>
        <w:rPr>
          <w:rFonts w:hint="eastAsia"/>
          <w:color w:val="auto"/>
          <w:lang w:eastAsia="zh-CN"/>
        </w:rPr>
        <w:t>；</w:t>
      </w:r>
      <w:r>
        <w:rPr>
          <w:rFonts w:hint="eastAsia"/>
          <w:color w:val="auto"/>
        </w:rPr>
        <w:t>指标值：</w:t>
      </w:r>
      <w:r>
        <w:rPr>
          <w:rFonts w:hint="eastAsia"/>
          <w:color w:val="auto"/>
          <w:lang w:val="en-US" w:eastAsia="zh-CN"/>
        </w:rPr>
        <w:t>有所提高</w:t>
      </w:r>
      <w:r>
        <w:rPr>
          <w:rFonts w:hint="eastAsia"/>
          <w:color w:val="auto"/>
        </w:rPr>
        <w:t>，实际完成值</w:t>
      </w:r>
      <w:r>
        <w:rPr>
          <w:rFonts w:hint="eastAsia"/>
          <w:color w:val="auto"/>
          <w:lang w:eastAsia="zh-CN"/>
        </w:rPr>
        <w:t>，</w:t>
      </w:r>
      <w:r>
        <w:rPr>
          <w:rFonts w:hint="eastAsia"/>
          <w:color w:val="auto"/>
          <w:lang w:val="en-US" w:eastAsia="zh-CN"/>
        </w:rPr>
        <w:t>有所提高</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指标</w:t>
      </w:r>
      <w:r>
        <w:rPr>
          <w:rFonts w:hint="eastAsia"/>
          <w:color w:val="auto"/>
          <w:lang w:val="en-US" w:eastAsia="zh-CN"/>
        </w:rPr>
        <w:t>2：</w:t>
      </w:r>
      <w:r>
        <w:rPr>
          <w:rFonts w:hint="eastAsia"/>
          <w:color w:val="auto"/>
          <w:lang w:eastAsia="zh-CN"/>
        </w:rPr>
        <w:t>困难残疾人学生受教育水平；</w:t>
      </w:r>
      <w:r>
        <w:rPr>
          <w:rFonts w:hint="eastAsia"/>
          <w:color w:val="auto"/>
        </w:rPr>
        <w:t>指标值：</w:t>
      </w:r>
      <w:r>
        <w:rPr>
          <w:rFonts w:hint="eastAsia"/>
          <w:color w:val="auto"/>
          <w:lang w:val="en-US" w:eastAsia="zh-CN"/>
        </w:rPr>
        <w:t>有所提升</w:t>
      </w:r>
      <w:r>
        <w:rPr>
          <w:rFonts w:hint="eastAsia"/>
          <w:color w:val="auto"/>
        </w:rPr>
        <w:t>，实际完成值</w:t>
      </w:r>
      <w:r>
        <w:rPr>
          <w:rFonts w:hint="eastAsia"/>
          <w:color w:val="auto"/>
          <w:lang w:eastAsia="zh-CN"/>
        </w:rPr>
        <w:t>，</w:t>
      </w:r>
      <w:r>
        <w:rPr>
          <w:rFonts w:hint="eastAsia"/>
          <w:color w:val="auto"/>
          <w:lang w:val="en-US" w:eastAsia="zh-CN"/>
        </w:rPr>
        <w:t>有所提升</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指标</w:t>
      </w:r>
      <w:r>
        <w:rPr>
          <w:rFonts w:hint="eastAsia"/>
          <w:color w:val="auto"/>
          <w:lang w:val="en-US" w:eastAsia="zh-CN"/>
        </w:rPr>
        <w:t>3：</w:t>
      </w:r>
      <w:r>
        <w:rPr>
          <w:rFonts w:hint="eastAsia"/>
          <w:color w:val="auto"/>
          <w:lang w:eastAsia="zh-CN"/>
        </w:rPr>
        <w:t>提高残疾人融入社会生活能力；</w:t>
      </w:r>
      <w:r>
        <w:rPr>
          <w:rFonts w:hint="eastAsia"/>
          <w:color w:val="auto"/>
        </w:rPr>
        <w:t>指标值：</w:t>
      </w:r>
      <w:r>
        <w:rPr>
          <w:rFonts w:hint="eastAsia"/>
          <w:color w:val="auto"/>
          <w:lang w:val="en-US" w:eastAsia="zh-CN"/>
        </w:rPr>
        <w:t>有所提高</w:t>
      </w:r>
      <w:r>
        <w:rPr>
          <w:rFonts w:hint="eastAsia"/>
          <w:color w:val="auto"/>
        </w:rPr>
        <w:t>，实际完成值</w:t>
      </w:r>
      <w:r>
        <w:rPr>
          <w:rFonts w:hint="eastAsia"/>
          <w:color w:val="auto"/>
          <w:lang w:eastAsia="zh-CN"/>
        </w:rPr>
        <w:t>，</w:t>
      </w:r>
      <w:r>
        <w:rPr>
          <w:rFonts w:hint="eastAsia"/>
          <w:color w:val="auto"/>
          <w:lang w:val="en-US" w:eastAsia="zh-CN"/>
        </w:rPr>
        <w:t>有所提高，</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lang w:val="en-US" w:eastAsia="zh-CN"/>
        </w:rPr>
        <w:t>2.</w:t>
      </w:r>
      <w:r>
        <w:rPr>
          <w:rFonts w:hint="eastAsia"/>
          <w:color w:val="auto"/>
        </w:rPr>
        <w:t>满意度指标：残疾人及其家属对残疾人康复服务的满意度</w:t>
      </w:r>
      <w:r>
        <w:rPr>
          <w:rFonts w:hint="eastAsia"/>
          <w:color w:val="auto"/>
          <w:lang w:eastAsia="zh-CN"/>
        </w:rPr>
        <w:t>；</w:t>
      </w:r>
      <w:r>
        <w:rPr>
          <w:rFonts w:hint="eastAsia"/>
          <w:color w:val="auto"/>
        </w:rPr>
        <w:t>指标值：</w:t>
      </w:r>
      <w:r>
        <w:rPr>
          <w:rFonts w:hint="eastAsia"/>
          <w:color w:val="auto"/>
          <w:lang w:eastAsia="zh-CN"/>
        </w:rPr>
        <w:t>≥</w:t>
      </w:r>
      <w:r>
        <w:rPr>
          <w:rFonts w:hint="eastAsia"/>
          <w:color w:val="auto"/>
          <w:lang w:val="en-US" w:eastAsia="zh-CN"/>
        </w:rPr>
        <w:t>90%</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残疾人及其家属对无障碍改造的满意度；</w:t>
      </w:r>
      <w:r>
        <w:rPr>
          <w:rFonts w:hint="eastAsia"/>
          <w:color w:val="auto"/>
        </w:rPr>
        <w:t>指标值：</w:t>
      </w:r>
      <w:r>
        <w:rPr>
          <w:rFonts w:hint="eastAsia"/>
          <w:color w:val="auto"/>
          <w:lang w:eastAsia="zh-CN"/>
        </w:rPr>
        <w:t>≥</w:t>
      </w:r>
      <w:r>
        <w:rPr>
          <w:rFonts w:hint="eastAsia"/>
          <w:color w:val="auto"/>
          <w:lang w:val="en-US" w:eastAsia="zh-CN"/>
        </w:rPr>
        <w:t>90%</w:t>
      </w:r>
      <w:r>
        <w:rPr>
          <w:rFonts w:hint="eastAsia"/>
          <w:color w:val="auto"/>
        </w:rPr>
        <w:t>，实际完成值</w:t>
      </w:r>
      <w:r>
        <w:rPr>
          <w:rFonts w:hint="eastAsia"/>
          <w:color w:val="auto"/>
          <w:lang w:val="en-US" w:eastAsia="zh-CN"/>
        </w:rPr>
        <w:t>90%，</w:t>
      </w:r>
      <w:r>
        <w:rPr>
          <w:rFonts w:hint="eastAsia"/>
          <w:color w:val="auto"/>
        </w:rPr>
        <w:t>指标完成率</w:t>
      </w:r>
      <w:r>
        <w:rPr>
          <w:rFonts w:hint="eastAsia"/>
          <w:color w:val="auto"/>
          <w:lang w:val="en-US" w:eastAsia="zh-CN"/>
        </w:rPr>
        <w:t>100%。</w:t>
      </w:r>
    </w:p>
    <w:p>
      <w:pPr>
        <w:pStyle w:val="6"/>
        <w:spacing w:line="360" w:lineRule="auto"/>
        <w:rPr>
          <w:rFonts w:ascii="宋体" w:hAnsi="宋体" w:eastAsia="宋体"/>
          <w:b/>
          <w:bCs/>
          <w:sz w:val="32"/>
          <w:szCs w:val="32"/>
        </w:rPr>
      </w:pPr>
      <w:bookmarkStart w:id="15" w:name="_Toc68703842"/>
      <w:r>
        <w:rPr>
          <w:rFonts w:hint="eastAsia" w:ascii="宋体" w:hAnsi="宋体" w:eastAsia="宋体"/>
          <w:b/>
          <w:bCs/>
          <w:sz w:val="32"/>
          <w:szCs w:val="32"/>
        </w:rPr>
        <w:t>五、主要经验及做法、存在的问题及原因分析</w:t>
      </w:r>
      <w:bookmarkEnd w:id="15"/>
    </w:p>
    <w:p>
      <w:pPr>
        <w:pStyle w:val="7"/>
        <w:spacing w:line="360" w:lineRule="auto"/>
        <w:rPr>
          <w:rFonts w:hint="eastAsia" w:ascii="仿宋_GB2312" w:eastAsia="仿宋_GB2312"/>
          <w:b w:val="0"/>
          <w:bCs w:val="0"/>
        </w:rPr>
      </w:pPr>
      <w:bookmarkStart w:id="16" w:name="_Toc68703843"/>
      <w:r>
        <w:rPr>
          <w:rFonts w:hint="eastAsia" w:ascii="仿宋_GB2312" w:eastAsia="仿宋_GB2312"/>
          <w:b w:val="0"/>
          <w:bCs w:val="0"/>
        </w:rPr>
        <w:t>（一）主要经验及做法</w:t>
      </w:r>
      <w:bookmarkEnd w:id="16"/>
    </w:p>
    <w:p>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32"/>
          <w:szCs w:val="32"/>
          <w:lang w:val="en-US" w:eastAsia="zh-CN"/>
        </w:rPr>
      </w:pPr>
      <w:bookmarkStart w:id="17" w:name="_Toc68703844"/>
      <w:r>
        <w:rPr>
          <w:rFonts w:hint="eastAsia" w:ascii="仿宋_GB2312" w:hAnsi="仿宋_GB2312" w:eastAsia="仿宋_GB2312" w:cs="仿宋_GB2312"/>
          <w:sz w:val="32"/>
          <w:szCs w:val="32"/>
          <w:lang w:eastAsia="zh-CN"/>
        </w:rPr>
        <w:t>我单位在县委、县政府的正确领导下，在县相关部门的大力支持配合下，深入贯彻党的十九大全会及县委、县政府有关会议精神，全面贯彻落实科学发展观，切实履行残疾人合法权益、保障残疾事业发展、维护残疾人权益、服务社会的职能，为全县经济社会又好又快发展提供优质高效的服务。结合项目自身特点、评价重点及管理办法等要求，为残疾人配发亟需的基本型辅助器具项目决策正确可行，为残疾人直观解决所盼所需，得到残疾人及残疾人家庭的高度赞誉，项目管理规范有序，项目绩效达到预期的社会效益。</w:t>
      </w:r>
    </w:p>
    <w:p>
      <w:pPr>
        <w:pStyle w:val="7"/>
        <w:spacing w:line="360" w:lineRule="auto"/>
        <w:rPr>
          <w:rFonts w:hint="eastAsia" w:ascii="仿宋_GB2312" w:eastAsia="仿宋_GB2312"/>
          <w:b w:val="0"/>
          <w:bCs w:val="0"/>
        </w:rPr>
      </w:pPr>
      <w:r>
        <w:rPr>
          <w:rFonts w:hint="eastAsia" w:ascii="仿宋_GB2312" w:eastAsia="仿宋_GB2312"/>
          <w:b w:val="0"/>
          <w:bCs w:val="0"/>
        </w:rPr>
        <w:t>（二）存在的问题及原因分析</w:t>
      </w:r>
      <w:bookmarkEnd w:id="17"/>
    </w:p>
    <w:p>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32"/>
          <w:szCs w:val="32"/>
          <w:lang w:eastAsia="zh-CN"/>
        </w:rPr>
      </w:pPr>
      <w:bookmarkStart w:id="18" w:name="_Toc68703845"/>
      <w:r>
        <w:rPr>
          <w:rFonts w:hint="eastAsia" w:ascii="仿宋_GB2312" w:hAnsi="仿宋_GB2312" w:eastAsia="仿宋_GB2312" w:cs="仿宋_GB2312"/>
          <w:sz w:val="32"/>
          <w:szCs w:val="32"/>
          <w:lang w:eastAsia="zh-CN"/>
        </w:rPr>
        <w:t>由于基础数据管理不够精细，自上而下设立目标具有实施上的不确定性，导致部分需要个人自愿申报的项目未能全部实现年初目标。下一步，我县将进一步发挥“量体裁衣”式平台作用，加强残疾人需求统计，提升基础数据管理水平，科学合理设立绩效目标；同时，加强督促指导，确保完成年度绩效目标。</w:t>
      </w:r>
    </w:p>
    <w:p>
      <w:pPr>
        <w:pStyle w:val="6"/>
        <w:numPr>
          <w:ilvl w:val="0"/>
          <w:numId w:val="3"/>
        </w:numPr>
        <w:spacing w:line="360" w:lineRule="auto"/>
        <w:rPr>
          <w:rFonts w:hint="eastAsia" w:ascii="宋体" w:hAnsi="宋体" w:eastAsia="宋体"/>
          <w:sz w:val="32"/>
          <w:szCs w:val="32"/>
        </w:rPr>
      </w:pPr>
      <w:r>
        <w:rPr>
          <w:rFonts w:hint="eastAsia" w:ascii="宋体" w:hAnsi="宋体" w:eastAsia="宋体"/>
          <w:sz w:val="32"/>
          <w:szCs w:val="32"/>
        </w:rPr>
        <w:t>有关建议</w:t>
      </w:r>
      <w:bookmarkEnd w:id="18"/>
    </w:p>
    <w:p>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val="en-US" w:eastAsia="zh-CN"/>
        </w:rPr>
        <w:t>健全项目管理制度。进一步完善细化项目任务内容，明确年度任务，确保考评公正，有据可依。</w:t>
      </w:r>
    </w:p>
    <w:p>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加强项目过程管理。加强项目单位主体责任，加强对项目承担单位的业务指导，特别是财务指导，做到“工作早介入，问题早发现，业务早指导”，促进单位管理人员，财务人员和科研人员将科技项目政策熟悉好，掌握好，运用好，提高科研经费是科学性和规范性。</w:t>
      </w:r>
    </w:p>
    <w:p>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调整优化奖补类别。协调有关部门，做好调查工作，结合实际情况做项目，实事求是。</w:t>
      </w:r>
    </w:p>
    <w:p>
      <w:pPr>
        <w:pStyle w:val="6"/>
        <w:spacing w:line="360" w:lineRule="auto"/>
        <w:rPr>
          <w:rFonts w:hint="eastAsia" w:ascii="宋体" w:hAnsi="宋体" w:eastAsia="宋体" w:cs="Times New Roman"/>
          <w:kern w:val="2"/>
          <w:sz w:val="32"/>
          <w:szCs w:val="32"/>
          <w:lang w:val="en-US" w:eastAsia="zh-CN" w:bidi="ar-SA"/>
        </w:rPr>
      </w:pPr>
      <w:bookmarkStart w:id="19" w:name="_Toc68703846"/>
      <w:r>
        <w:rPr>
          <w:rFonts w:hint="eastAsia" w:ascii="宋体" w:hAnsi="宋体" w:eastAsia="宋体" w:cs="Times New Roman"/>
          <w:kern w:val="2"/>
          <w:sz w:val="32"/>
          <w:szCs w:val="32"/>
          <w:lang w:val="en-US" w:eastAsia="zh-CN" w:bidi="ar-SA"/>
        </w:rPr>
        <w:t>七、其他需要说明的问题</w:t>
      </w:r>
      <w:bookmarkEnd w:id="1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本单位无其他需要说明的问题。</w:t>
      </w:r>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FCE8FA"/>
    <w:multiLevelType w:val="singleLevel"/>
    <w:tmpl w:val="32FCE8FA"/>
    <w:lvl w:ilvl="0" w:tentative="0">
      <w:start w:val="6"/>
      <w:numFmt w:val="chineseCounting"/>
      <w:suff w:val="nothing"/>
      <w:lvlText w:val="%1、"/>
      <w:lvlJc w:val="left"/>
      <w:rPr>
        <w:rFonts w:hint="eastAsia"/>
      </w:rPr>
    </w:lvl>
  </w:abstractNum>
  <w:abstractNum w:abstractNumId="1">
    <w:nsid w:val="547B1ACA"/>
    <w:multiLevelType w:val="singleLevel"/>
    <w:tmpl w:val="547B1ACA"/>
    <w:lvl w:ilvl="0" w:tentative="0">
      <w:start w:val="1"/>
      <w:numFmt w:val="decimal"/>
      <w:suff w:val="nothing"/>
      <w:lvlText w:val="%1）"/>
      <w:lvlJc w:val="left"/>
    </w:lvl>
  </w:abstractNum>
  <w:abstractNum w:abstractNumId="2">
    <w:nsid w:val="6DC22FD3"/>
    <w:multiLevelType w:val="singleLevel"/>
    <w:tmpl w:val="6DC22FD3"/>
    <w:lvl w:ilvl="0" w:tentative="0">
      <w:start w:val="1"/>
      <w:numFmt w:val="decimal"/>
      <w:pStyle w:val="5"/>
      <w:lvlText w:val="%1."/>
      <w:lvlJc w:val="left"/>
      <w:pPr>
        <w:tabs>
          <w:tab w:val="left" w:pos="2040"/>
        </w:tabs>
        <w:ind w:left="204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0ZTBmZDhiMGRhNmFiYTIxMjkyMTUxODVmNWE3NjEifQ=="/>
  </w:docVars>
  <w:rsids>
    <w:rsidRoot w:val="007D49C5"/>
    <w:rsid w:val="000D63FA"/>
    <w:rsid w:val="005B64E8"/>
    <w:rsid w:val="00614288"/>
    <w:rsid w:val="00792CFE"/>
    <w:rsid w:val="007D49C5"/>
    <w:rsid w:val="008175E0"/>
    <w:rsid w:val="008C631D"/>
    <w:rsid w:val="00A114ED"/>
    <w:rsid w:val="00B24331"/>
    <w:rsid w:val="051E69A9"/>
    <w:rsid w:val="0B3D5613"/>
    <w:rsid w:val="0F2A6BF7"/>
    <w:rsid w:val="10B222C2"/>
    <w:rsid w:val="15EC7554"/>
    <w:rsid w:val="20A5189A"/>
    <w:rsid w:val="237574EC"/>
    <w:rsid w:val="23D80005"/>
    <w:rsid w:val="29A14C2E"/>
    <w:rsid w:val="31B81F72"/>
    <w:rsid w:val="3527550A"/>
    <w:rsid w:val="35ED0B7B"/>
    <w:rsid w:val="36B72533"/>
    <w:rsid w:val="3C3000DF"/>
    <w:rsid w:val="4057649F"/>
    <w:rsid w:val="46E841F3"/>
    <w:rsid w:val="48B45D69"/>
    <w:rsid w:val="52A33D4A"/>
    <w:rsid w:val="56137B2A"/>
    <w:rsid w:val="56796849"/>
    <w:rsid w:val="5DA95371"/>
    <w:rsid w:val="62FE42DE"/>
    <w:rsid w:val="71D12633"/>
    <w:rsid w:val="7A284511"/>
    <w:rsid w:val="7C5973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6">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7">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firstLineChars="200"/>
    </w:pPr>
  </w:style>
  <w:style w:type="paragraph" w:styleId="3">
    <w:name w:val="Body Text Indent"/>
    <w:basedOn w:val="1"/>
    <w:next w:val="2"/>
    <w:unhideWhenUsed/>
    <w:qFormat/>
    <w:uiPriority w:val="99"/>
    <w:pPr>
      <w:spacing w:after="120"/>
      <w:ind w:left="420" w:leftChars="200"/>
    </w:pPr>
  </w:style>
  <w:style w:type="paragraph" w:styleId="4">
    <w:name w:val="Plain Text"/>
    <w:basedOn w:val="1"/>
    <w:next w:val="5"/>
    <w:qFormat/>
    <w:uiPriority w:val="0"/>
    <w:rPr>
      <w:rFonts w:ascii="宋体" w:hAnsi="Courier New" w:eastAsia="宋体" w:cs="Times New Roman"/>
      <w:sz w:val="28"/>
      <w:szCs w:val="20"/>
    </w:rPr>
  </w:style>
  <w:style w:type="paragraph" w:styleId="5">
    <w:name w:val="List Number 5"/>
    <w:basedOn w:val="1"/>
    <w:semiHidden/>
    <w:unhideWhenUsed/>
    <w:uiPriority w:val="99"/>
    <w:pPr>
      <w:numPr>
        <w:ilvl w:val="0"/>
        <w:numId w:val="1"/>
      </w:numPr>
    </w:pPr>
  </w:style>
  <w:style w:type="paragraph" w:styleId="8">
    <w:name w:val="footer"/>
    <w:basedOn w:val="1"/>
    <w:link w:val="19"/>
    <w:semiHidden/>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customStyle="1" w:styleId="15">
    <w:name w:val="标题 1 Char"/>
    <w:basedOn w:val="13"/>
    <w:link w:val="6"/>
    <w:qFormat/>
    <w:uiPriority w:val="9"/>
    <w:rPr>
      <w:rFonts w:ascii="Times New Roman" w:hAnsi="Times New Roman" w:eastAsia="仿宋_GB2312" w:cs="Times New Roman"/>
      <w:b/>
      <w:bCs/>
      <w:kern w:val="44"/>
      <w:sz w:val="44"/>
      <w:szCs w:val="44"/>
    </w:rPr>
  </w:style>
  <w:style w:type="character" w:customStyle="1" w:styleId="16">
    <w:name w:val="标题 2 Char"/>
    <w:basedOn w:val="13"/>
    <w:link w:val="7"/>
    <w:qFormat/>
    <w:uiPriority w:val="9"/>
    <w:rPr>
      <w:rFonts w:asciiTheme="majorHAnsi" w:hAnsiTheme="majorHAnsi" w:eastAsiaTheme="majorEastAsia" w:cstheme="majorBidi"/>
      <w:b/>
      <w:bCs/>
      <w:sz w:val="32"/>
      <w:szCs w:val="32"/>
    </w:rPr>
  </w:style>
  <w:style w:type="paragraph" w:customStyle="1" w:styleId="17">
    <w:name w:val="TOC Heading"/>
    <w:basedOn w:val="6"/>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3"/>
    <w:link w:val="9"/>
    <w:semiHidden/>
    <w:qFormat/>
    <w:uiPriority w:val="99"/>
    <w:rPr>
      <w:rFonts w:ascii="Times New Roman" w:hAnsi="Times New Roman" w:eastAsia="仿宋_GB2312" w:cs="Times New Roman"/>
      <w:sz w:val="18"/>
      <w:szCs w:val="18"/>
    </w:rPr>
  </w:style>
  <w:style w:type="character" w:customStyle="1" w:styleId="19">
    <w:name w:val="页脚 Char"/>
    <w:basedOn w:val="13"/>
    <w:link w:val="8"/>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6742</Words>
  <Characters>7068</Characters>
  <Lines>37</Lines>
  <Paragraphs>10</Paragraphs>
  <TotalTime>24</TotalTime>
  <ScaleCrop>false</ScaleCrop>
  <LinksUpToDate>false</LinksUpToDate>
  <CharactersWithSpaces>7196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cp:lastPrinted>2023-03-27T05:01:00Z</cp:lastPrinted>
  <dcterms:modified xsi:type="dcterms:W3CDTF">2023-09-06T04:34:59Z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C41FA141F3CE4215AE9C32827FAC25E0</vt:lpwstr>
  </property>
</Properties>
</file>