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rPr>
        <w:t>2年度）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0" w:firstLineChars="100"/>
        <w:rPr>
          <w:rFonts w:hint="eastAsia" w:ascii="宋体" w:hAnsi="宋体" w:eastAsia="宋体" w:cs="仿宋_GB2312"/>
          <w:color w:val="000000"/>
          <w:kern w:val="0"/>
          <w:sz w:val="32"/>
          <w:szCs w:val="32"/>
          <w:lang w:val="en-US" w:eastAsia="zh-CN"/>
        </w:rPr>
      </w:pPr>
    </w:p>
    <w:p>
      <w:pPr>
        <w:spacing w:line="560" w:lineRule="exact"/>
        <w:ind w:firstLine="320" w:firstLineChars="100"/>
        <w:rPr>
          <w:rFonts w:hint="eastAsia" w:ascii="宋体" w:hAnsi="宋体" w:eastAsia="宋体" w:cs="仿宋_GB2312"/>
          <w:color w:val="000000"/>
          <w:kern w:val="0"/>
          <w:sz w:val="32"/>
          <w:szCs w:val="32"/>
          <w:lang w:val="en-US" w:eastAsia="zh-CN"/>
        </w:rPr>
      </w:pPr>
    </w:p>
    <w:p>
      <w:pPr>
        <w:spacing w:line="560" w:lineRule="exact"/>
        <w:ind w:left="318" w:leftChars="106" w:firstLine="1"/>
        <w:rPr>
          <w:rFonts w:hint="eastAsia"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lang w:val="en-US" w:eastAsia="zh-CN"/>
        </w:rPr>
        <w:t>公共美术馆、图书馆、文化馆（站）免费开放补助支出</w:t>
      </w:r>
    </w:p>
    <w:p>
      <w:pPr>
        <w:spacing w:line="560" w:lineRule="exact"/>
        <w:ind w:firstLine="321" w:firstLineChars="100"/>
        <w:rPr>
          <w:rFonts w:hint="eastAsia"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color w:val="000000"/>
          <w:kern w:val="0"/>
          <w:sz w:val="32"/>
          <w:szCs w:val="32"/>
          <w:lang w:val="en-US" w:eastAsia="zh-CN"/>
        </w:rPr>
        <w:t>霍城县文化体育广播电视和旅游局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lang w:val="en-US" w:eastAsia="zh-CN"/>
        </w:rPr>
        <w:t>霍城县文化体育广播电视和旅游局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lang w:val="en-US" w:eastAsia="zh-CN"/>
        </w:rPr>
        <w:t>朱学斌</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20</w:t>
      </w:r>
      <w:r>
        <w:rPr>
          <w:rFonts w:hint="eastAsia" w:ascii="宋体" w:hAnsi="宋体" w:eastAsia="宋体" w:cs="仿宋_GB2312"/>
          <w:color w:val="000000"/>
          <w:kern w:val="0"/>
          <w:sz w:val="32"/>
          <w:szCs w:val="32"/>
        </w:rPr>
        <w:t>日</w:t>
      </w: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2"/>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eastAsia="仿宋_GB2312"/>
          <w:lang w:val="en-US" w:eastAsia="zh-CN"/>
        </w:rPr>
      </w:pPr>
      <w:r>
        <w:rPr>
          <w:rFonts w:hint="eastAsia" w:ascii="仿宋_GB2312"/>
        </w:rPr>
        <w:t>1、项目背景：</w:t>
      </w:r>
      <w:r>
        <w:rPr>
          <w:rFonts w:hint="eastAsia"/>
          <w:bCs/>
          <w:szCs w:val="30"/>
        </w:rPr>
        <w:t>为深入贯彻党的二十大</w:t>
      </w:r>
      <w:bookmarkStart w:id="21" w:name="_GoBack"/>
      <w:bookmarkEnd w:id="21"/>
      <w:r>
        <w:rPr>
          <w:rFonts w:hint="eastAsia"/>
          <w:bCs/>
          <w:szCs w:val="30"/>
        </w:rPr>
        <w:t>精神，充分发挥公共文化场馆的作用，提高文化服务水平，满足人民群众日益增长得精神文化需求，为全县居民提供便利、丰富、优质的公共文化服务</w:t>
      </w:r>
      <w:r>
        <w:rPr>
          <w:rFonts w:hint="eastAsia"/>
          <w:bCs/>
          <w:szCs w:val="30"/>
          <w:lang w:eastAsia="zh-CN"/>
        </w:rPr>
        <w:t>。</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ascii="仿宋_GB2312"/>
          <w:color w:val="FF0000"/>
        </w:rPr>
      </w:pPr>
      <w:r>
        <w:rPr>
          <w:rFonts w:hint="eastAsia" w:ascii="仿宋_GB2312"/>
        </w:rPr>
        <w:t>主要内容：保障本县免费开放图书馆、美术馆、文化馆（站）（简称“三馆一站”）日常运转，免费开展基本公共文化服务；丰富人民群众的精神文化生活，提高各族群众文化素质作用，促进社会和谐稳定,受益群体满意度达95%以上。</w:t>
      </w:r>
    </w:p>
    <w:p>
      <w:pPr>
        <w:spacing w:line="500" w:lineRule="exact"/>
        <w:ind w:firstLine="450" w:firstLineChars="150"/>
        <w:rPr>
          <w:bCs/>
          <w:szCs w:val="30"/>
        </w:rPr>
      </w:pPr>
      <w:r>
        <w:rPr>
          <w:rFonts w:hint="eastAsia" w:ascii="仿宋_GB2312"/>
        </w:rPr>
        <w:t>实施情况：</w:t>
      </w:r>
      <w:r>
        <w:rPr>
          <w:rFonts w:hint="eastAsia"/>
          <w:bCs/>
          <w:szCs w:val="30"/>
        </w:rPr>
        <w:t>我局按照年初工作计划，切实做好图书馆、文化馆的免费开放工作，面向社会公开设免费培训班18场，参与人次2700余人，免费开放服务人次1万余人，切实发挥了文化阵地的作用，保障群众精神文化需求，弘扬传承中国优秀传统文化，助力文化振兴。2022年免费开放图书馆、文化馆馆内设施设备利用率99%，“三馆一站”免费开放覆盖率100%，全年免费开放完成率100%。</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rFonts w:hint="eastAsia"/>
          <w:bCs/>
          <w:szCs w:val="30"/>
        </w:rPr>
      </w:pPr>
      <w:r>
        <w:rPr>
          <w:rFonts w:hint="eastAsia"/>
        </w:rPr>
        <w:t>资金投入情况：</w:t>
      </w:r>
      <w:r>
        <w:rPr>
          <w:rFonts w:hint="eastAsia"/>
          <w:bCs/>
          <w:szCs w:val="30"/>
        </w:rPr>
        <w:t>该项目年初预算数</w:t>
      </w:r>
      <w:r>
        <w:rPr>
          <w:rFonts w:hint="eastAsia"/>
          <w:bCs/>
          <w:szCs w:val="30"/>
          <w:lang w:val="en-US" w:eastAsia="zh-CN"/>
        </w:rPr>
        <w:t>0</w:t>
      </w:r>
      <w:r>
        <w:rPr>
          <w:rFonts w:hint="eastAsia"/>
          <w:bCs/>
          <w:szCs w:val="30"/>
        </w:rPr>
        <w:t>万元，全年预算数88万元，实际总投入87.97万元，该项目资金已全部落实到位，资金来源为当年财政拨款。</w:t>
      </w:r>
    </w:p>
    <w:p>
      <w:pPr>
        <w:spacing w:line="360" w:lineRule="auto"/>
        <w:ind w:firstLine="600" w:firstLineChars="200"/>
        <w:rPr>
          <w:rFonts w:hint="default"/>
          <w:bCs/>
          <w:szCs w:val="30"/>
          <w:lang w:val="en-US"/>
        </w:rPr>
      </w:pPr>
      <w:r>
        <w:rPr>
          <w:rFonts w:hint="eastAsia"/>
        </w:rPr>
        <w:t>资金使用情况：</w:t>
      </w:r>
      <w:r>
        <w:rPr>
          <w:rFonts w:hint="eastAsia"/>
          <w:bCs/>
          <w:szCs w:val="30"/>
        </w:rPr>
        <w:t>该项目年初预算数</w:t>
      </w:r>
      <w:r>
        <w:rPr>
          <w:rFonts w:hint="eastAsia"/>
          <w:bCs/>
          <w:szCs w:val="30"/>
          <w:lang w:val="en-US" w:eastAsia="zh-CN"/>
        </w:rPr>
        <w:t>0</w:t>
      </w:r>
      <w:r>
        <w:rPr>
          <w:rFonts w:hint="eastAsia"/>
          <w:bCs/>
          <w:szCs w:val="30"/>
        </w:rPr>
        <w:t>万元，全年预算数88万元，全年执行数87.97万元，预算执行率为99.97%，用于：县公共图书馆、文化馆补贴标准（每馆每年）</w:t>
      </w:r>
      <w:r>
        <w:rPr>
          <w:rFonts w:hint="eastAsia"/>
          <w:bCs/>
          <w:szCs w:val="30"/>
          <w:lang w:val="en-US" w:eastAsia="zh-CN"/>
        </w:rPr>
        <w:t>19.97万元，免费开放乡镇文化站补贴标准（每站每年）5万元，举办各类免费开放活动、培训、讲座费用18万元。</w:t>
      </w:r>
    </w:p>
    <w:p>
      <w:pPr>
        <w:pStyle w:val="3"/>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rPr>
      </w:pPr>
      <w:r>
        <w:rPr>
          <w:rFonts w:hint="eastAsia"/>
        </w:rPr>
        <w:t>1、总体目标：保障本县免费开放图书馆、美术馆、文化馆（站）（简称“三馆一站”）日常运转，免费开展基本公共文化服务；丰富人民群众的精神文化生活，提高各族群众文化素质作用，促进社会和谐稳定,受益群体满意度达95%以上。</w:t>
      </w:r>
    </w:p>
    <w:p>
      <w:pPr>
        <w:spacing w:line="360" w:lineRule="auto"/>
        <w:ind w:firstLine="600" w:firstLineChars="200"/>
      </w:pPr>
      <w:r>
        <w:t>2</w:t>
      </w:r>
      <w:r>
        <w:rPr>
          <w:rFonts w:hint="eastAsia"/>
        </w:rPr>
        <w:t>、阶段性目标：每月统计免费开放服务人次及举办各类免费开放活动、培训、讲座场次（次），馆内设施设备利用率等，季度进行汇总并制定免费开放绩效考评机制形成考评率，年度进行全年免费开放完成率及覆盖率，并对受益群体满意度进行调查。</w:t>
      </w:r>
    </w:p>
    <w:p>
      <w:pPr>
        <w:pStyle w:val="2"/>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00" w:firstLineChars="200"/>
        <w:rPr>
          <w:rFonts w:hint="eastAsia"/>
          <w:bCs/>
          <w:szCs w:val="30"/>
        </w:rPr>
      </w:pPr>
      <w:r>
        <w:rPr>
          <w:rFonts w:hint="eastAsia"/>
          <w:bCs/>
          <w:szCs w:val="30"/>
        </w:rPr>
        <w:t>通过绩效评价，客观地评判项目的管理绩效，了解和掌握公共美术馆、图书馆、文化馆（站）免费开放补助支出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00" w:firstLineChars="200"/>
        <w:rPr>
          <w:rFonts w:hint="eastAsia"/>
          <w:bCs/>
          <w:szCs w:val="30"/>
        </w:rPr>
      </w:pPr>
      <w:r>
        <w:rPr>
          <w:rFonts w:hint="eastAsia"/>
          <w:bCs/>
          <w:szCs w:val="30"/>
        </w:rPr>
        <w:t>公共美术馆、图书馆、文化馆（站）免费开放补助支出</w:t>
      </w:r>
    </w:p>
    <w:p>
      <w:pPr>
        <w:spacing w:line="360" w:lineRule="auto"/>
        <w:ind w:firstLine="600" w:firstLineChars="200"/>
      </w:pPr>
      <w:r>
        <w:rPr>
          <w:rFonts w:hint="eastAsia"/>
        </w:rPr>
        <w:t>3、绩效评价范围：</w:t>
      </w:r>
    </w:p>
    <w:p>
      <w:pPr>
        <w:spacing w:line="360" w:lineRule="auto"/>
        <w:ind w:firstLine="600" w:firstLineChars="200"/>
        <w:rPr>
          <w:rFonts w:hint="eastAsia"/>
          <w:bCs/>
          <w:szCs w:val="30"/>
        </w:rPr>
      </w:pPr>
      <w:r>
        <w:rPr>
          <w:rFonts w:hint="eastAsia"/>
          <w:bCs/>
          <w:szCs w:val="30"/>
        </w:rPr>
        <w:t>本次评价从项目决策（包括绩效目标、决策过程）、项目管理（包括项目资金、项目实施）、项目产出（包括项目产出数量、产出质量、产出时效和产出成本）项目效益四个维度进行公共美术馆、图书馆、文化馆（站）免费开放补助支出评价，评价核心为专项资金的支出完成情况和效果。</w:t>
      </w:r>
    </w:p>
    <w:p>
      <w:pPr>
        <w:spacing w:line="360" w:lineRule="auto"/>
      </w:pPr>
    </w:p>
    <w:p>
      <w:pPr>
        <w:pStyle w:val="3"/>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360" w:lineRule="auto"/>
        <w:ind w:firstLine="600" w:firstLineChars="200"/>
        <w:rPr>
          <w:rFonts w:hint="eastAsia"/>
          <w:lang w:val="en-US" w:eastAsia="zh-CN"/>
        </w:rPr>
      </w:pPr>
      <w:r>
        <w:rPr>
          <w:rFonts w:hint="eastAsia"/>
        </w:rPr>
        <w:t>（</w:t>
      </w:r>
      <w:r>
        <w:rPr>
          <w:rFonts w:hint="eastAsia"/>
          <w:lang w:val="en-US" w:eastAsia="zh-CN"/>
        </w:rPr>
        <w:t>一）科学公正。本次项目支出绩效评价运用科学合理的方法，按照规范的程序，对项目绩效进行客观、公正的反映。</w:t>
      </w:r>
    </w:p>
    <w:p>
      <w:pPr>
        <w:spacing w:line="360" w:lineRule="auto"/>
        <w:ind w:firstLine="600" w:firstLineChars="200"/>
        <w:rPr>
          <w:rFonts w:hint="eastAsia"/>
          <w:lang w:val="en-US" w:eastAsia="zh-CN"/>
        </w:rPr>
      </w:pPr>
      <w:r>
        <w:rPr>
          <w:rFonts w:hint="eastAsia"/>
          <w:lang w:val="en-US" w:eastAsia="zh-CN"/>
        </w:rPr>
        <w:t>（二）统筹兼顾。本次项目支出绩效评价由本单位自主实施，即“谁支出、谁自评”。</w:t>
      </w:r>
    </w:p>
    <w:p>
      <w:pPr>
        <w:spacing w:line="360" w:lineRule="auto"/>
        <w:ind w:firstLine="600" w:firstLineChars="200"/>
        <w:rPr>
          <w:rFonts w:hint="eastAsia"/>
          <w:lang w:val="en-US" w:eastAsia="zh-CN"/>
        </w:rPr>
      </w:pPr>
      <w:r>
        <w:rPr>
          <w:rFonts w:hint="eastAsia"/>
          <w:lang w:val="en-US" w:eastAsia="zh-CN"/>
        </w:rPr>
        <w:t>（三）激励约束。本次项目支出绩效评价结果与预算安排、政策调整、改进管理实质性挂钩，体现奖优罚劣和激励相容导向，有效要安排、低效要压减、无效要问责。</w:t>
      </w:r>
    </w:p>
    <w:p>
      <w:pPr>
        <w:spacing w:line="360" w:lineRule="auto"/>
        <w:ind w:firstLine="600" w:firstLineChars="200"/>
        <w:rPr>
          <w:rFonts w:hint="eastAsia"/>
          <w:lang w:val="en-US" w:eastAsia="zh-CN"/>
        </w:rPr>
      </w:pPr>
      <w:r>
        <w:rPr>
          <w:rFonts w:hint="eastAsia"/>
          <w:lang w:val="en-US" w:eastAsia="zh-CN"/>
        </w:rPr>
        <w:t>（四）公开透明。本次项目支出绩效评价结果已依法依规公开在霍城县人民政府网站上，并自觉接受社会监督。</w:t>
      </w:r>
    </w:p>
    <w:p>
      <w:pPr>
        <w:spacing w:line="360" w:lineRule="auto"/>
        <w:rPr>
          <w:rFonts w:hint="eastAsia" w:ascii="仿宋_GB2312" w:eastAsia="仿宋_GB2312" w:hAnsiTheme="majorHAnsi" w:cstheme="majorBidi"/>
          <w:b w:val="0"/>
          <w:bCs w:val="0"/>
          <w:kern w:val="2"/>
          <w:sz w:val="32"/>
          <w:szCs w:val="32"/>
          <w:lang w:val="en-US" w:eastAsia="zh-CN" w:bidi="ar-SA"/>
        </w:rPr>
      </w:pPr>
    </w:p>
    <w:p>
      <w:pPr>
        <w:spacing w:line="360" w:lineRule="auto"/>
      </w:pPr>
      <w:r>
        <w:rPr>
          <w:rFonts w:hint="eastAsia"/>
        </w:rPr>
        <w:t>2、评价指标体系（附表说明）</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公共美术馆、图书馆、文化馆（站）免费开放补助支出项目支出绩效评价指标体系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4053"/>
        <w:gridCol w:w="822"/>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4053"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822"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4053"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822" w:type="dxa"/>
            <w:tcBorders>
              <w:left w:val="single" w:color="auto" w:sz="4" w:space="0"/>
            </w:tcBorders>
            <w:shd w:val="clear" w:color="auto" w:fill="FFFFFF"/>
          </w:tcPr>
          <w:p>
            <w:pPr>
              <w:spacing w:line="600" w:lineRule="auto"/>
              <w:jc w:val="center"/>
            </w:pPr>
            <w:r>
              <w:rPr>
                <w:rFonts w:hint="eastAsia"/>
              </w:rPr>
              <w:t>5</w:t>
            </w:r>
          </w:p>
        </w:tc>
        <w:tc>
          <w:tcPr>
            <w:tcW w:w="874" w:type="dxa"/>
            <w:tcBorders>
              <w:bottom w:val="single" w:color="auto" w:sz="4" w:space="0"/>
            </w:tcBorders>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4053"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822" w:type="dxa"/>
            <w:tcBorders>
              <w:left w:val="single" w:color="auto" w:sz="4" w:space="0"/>
            </w:tcBorders>
            <w:shd w:val="clear" w:color="auto" w:fill="FFFFFF"/>
          </w:tcPr>
          <w:p>
            <w:pPr>
              <w:spacing w:line="600" w:lineRule="auto"/>
              <w:jc w:val="center"/>
            </w:pPr>
            <w:r>
              <w:rPr>
                <w:rFonts w:hint="eastAsia"/>
              </w:rPr>
              <w:t>5</w:t>
            </w:r>
          </w:p>
        </w:tc>
        <w:tc>
          <w:tcPr>
            <w:tcW w:w="874" w:type="dxa"/>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822" w:type="dxa"/>
            <w:tcBorders>
              <w:left w:val="single" w:color="auto" w:sz="4" w:space="0"/>
            </w:tcBorders>
            <w:shd w:val="clear" w:color="000000" w:fill="FFFFFF"/>
          </w:tcPr>
          <w:p>
            <w:pPr>
              <w:spacing w:line="600" w:lineRule="auto"/>
              <w:jc w:val="center"/>
              <w:rPr>
                <w:rFonts w:hint="eastAsia" w:eastAsia="仿宋_GB2312"/>
                <w:lang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822" w:type="dxa"/>
            <w:tcBorders>
              <w:left w:val="single" w:color="auto" w:sz="4" w:space="0"/>
            </w:tcBorders>
            <w:shd w:val="clear" w:color="000000" w:fill="FFFFFF"/>
          </w:tcPr>
          <w:p>
            <w:pPr>
              <w:spacing w:line="600" w:lineRule="auto"/>
              <w:jc w:val="center"/>
              <w:rPr>
                <w:rFonts w:hint="eastAsia" w:eastAsia="仿宋_GB2312"/>
                <w:lang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4053"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822" w:type="dxa"/>
            <w:tcBorders>
              <w:left w:val="single" w:color="auto" w:sz="4" w:space="0"/>
            </w:tcBorders>
            <w:shd w:val="clear" w:color="auto" w:fill="FFFFFF"/>
          </w:tcPr>
          <w:p>
            <w:pPr>
              <w:spacing w:line="600" w:lineRule="auto"/>
              <w:jc w:val="center"/>
            </w:pPr>
            <w:r>
              <w:rPr>
                <w:rFonts w:hint="eastAsia"/>
              </w:rPr>
              <w:t>5</w:t>
            </w:r>
          </w:p>
        </w:tc>
        <w:tc>
          <w:tcPr>
            <w:tcW w:w="874" w:type="dxa"/>
            <w:tcBorders>
              <w:bottom w:val="single" w:color="auto" w:sz="4" w:space="0"/>
            </w:tcBorders>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4053"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822" w:type="dxa"/>
            <w:tcBorders>
              <w:left w:val="single" w:color="auto" w:sz="4" w:space="0"/>
            </w:tcBorders>
            <w:shd w:val="clear" w:color="auto" w:fill="FFFFFF"/>
          </w:tcPr>
          <w:p>
            <w:pPr>
              <w:spacing w:line="600" w:lineRule="auto"/>
              <w:jc w:val="center"/>
            </w:pPr>
            <w:r>
              <w:rPr>
                <w:rFonts w:hint="eastAsia"/>
              </w:rPr>
              <w:t>5</w:t>
            </w:r>
          </w:p>
        </w:tc>
        <w:tc>
          <w:tcPr>
            <w:tcW w:w="874" w:type="dxa"/>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822" w:type="dxa"/>
            <w:tcBorders>
              <w:left w:val="single" w:color="auto" w:sz="4" w:space="0"/>
            </w:tcBorders>
            <w:shd w:val="clear" w:color="000000" w:fill="FFFFFF"/>
          </w:tcPr>
          <w:p>
            <w:pPr>
              <w:spacing w:line="600" w:lineRule="auto"/>
              <w:jc w:val="center"/>
              <w:rPr>
                <w:rFonts w:hint="eastAsia" w:eastAsia="仿宋_GB2312"/>
                <w:lang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4053"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822" w:type="dxa"/>
            <w:tcBorders>
              <w:left w:val="single" w:color="auto" w:sz="4" w:space="0"/>
            </w:tcBorders>
            <w:shd w:val="clear" w:color="auto" w:fill="FFFFFF"/>
          </w:tcPr>
          <w:p>
            <w:pPr>
              <w:spacing w:line="600" w:lineRule="auto"/>
              <w:jc w:val="center"/>
              <w:rPr>
                <w:rFonts w:hint="eastAsia" w:eastAsia="仿宋_GB2312"/>
                <w:lang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822" w:type="dxa"/>
            <w:tcBorders>
              <w:left w:val="single" w:color="auto" w:sz="4" w:space="0"/>
            </w:tcBorders>
            <w:shd w:val="clear" w:color="000000" w:fill="FFFFFF"/>
          </w:tcPr>
          <w:p>
            <w:pPr>
              <w:spacing w:line="600" w:lineRule="auto"/>
              <w:jc w:val="center"/>
              <w:rPr>
                <w:rFonts w:hint="eastAsia" w:eastAsia="仿宋_GB2312"/>
                <w:lang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822"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822" w:type="dxa"/>
            <w:tcBorders>
              <w:left w:val="single" w:color="auto" w:sz="4" w:space="0"/>
            </w:tcBorders>
            <w:shd w:val="clear" w:color="000000" w:fill="FFFFFF"/>
          </w:tcPr>
          <w:p>
            <w:pPr>
              <w:spacing w:line="600" w:lineRule="auto"/>
              <w:jc w:val="center"/>
              <w:rPr>
                <w:rFonts w:hint="eastAsia" w:eastAsia="仿宋_GB2312"/>
                <w:lang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822"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822"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822"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4053"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822" w:type="dxa"/>
            <w:tcBorders>
              <w:left w:val="single" w:color="auto" w:sz="4" w:space="0"/>
            </w:tcBorders>
            <w:shd w:val="clear" w:color="auto" w:fill="FFFFFF"/>
          </w:tcPr>
          <w:p>
            <w:pPr>
              <w:spacing w:line="600" w:lineRule="auto"/>
              <w:jc w:val="center"/>
            </w:pPr>
            <w:r>
              <w:rPr>
                <w:rFonts w:hint="eastAsia"/>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9.99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4053"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822" w:type="dxa"/>
            <w:tcBorders>
              <w:left w:val="single" w:color="auto" w:sz="4" w:space="0"/>
            </w:tcBorders>
            <w:shd w:val="clear" w:color="auto" w:fill="FFFFFF"/>
          </w:tcPr>
          <w:p>
            <w:pPr>
              <w:spacing w:line="600" w:lineRule="auto"/>
              <w:jc w:val="center"/>
            </w:pPr>
            <w:r>
              <w:rPr>
                <w:rFonts w:hint="eastAsia"/>
              </w:rPr>
              <w:t>5</w:t>
            </w:r>
          </w:p>
        </w:tc>
        <w:tc>
          <w:tcPr>
            <w:tcW w:w="874" w:type="dxa"/>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4053"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822" w:type="dxa"/>
            <w:tcBorders>
              <w:left w:val="single" w:color="auto" w:sz="4" w:space="0"/>
            </w:tcBorders>
            <w:shd w:val="clear" w:color="000000" w:fill="FFFFFF"/>
          </w:tcPr>
          <w:p>
            <w:pPr>
              <w:spacing w:line="600" w:lineRule="auto"/>
              <w:jc w:val="center"/>
            </w:pPr>
            <w:r>
              <w:rPr>
                <w:rFonts w:hint="eastAsia"/>
              </w:rPr>
              <w:t>5</w:t>
            </w:r>
          </w:p>
        </w:tc>
        <w:tc>
          <w:tcPr>
            <w:tcW w:w="874" w:type="dxa"/>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4053"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822" w:type="dxa"/>
            <w:tcBorders>
              <w:lef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99.99</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00" w:firstLineChars="200"/>
        <w:rPr>
          <w:rFonts w:hint="eastAsia" w:eastAsia="仿宋_GB2312"/>
          <w:lang w:eastAsia="zh-CN"/>
        </w:rPr>
      </w:pPr>
      <w:r>
        <w:rPr>
          <w:rFonts w:hint="eastAsia"/>
        </w:rPr>
        <w:t>本次项目支出绩效自评采用比较方法，原因是：通过公共美术馆、图书馆、文化馆（站）免费开放实施情况与绩效目标、历史情况、不同部门和地区同类支出情况进行比较能够更加科学准确</w:t>
      </w:r>
      <w:r>
        <w:rPr>
          <w:rFonts w:hint="eastAsia"/>
          <w:lang w:eastAsia="zh-CN"/>
        </w:rPr>
        <w:t>。</w:t>
      </w:r>
    </w:p>
    <w:p>
      <w:pPr>
        <w:spacing w:line="360" w:lineRule="auto"/>
      </w:pPr>
    </w:p>
    <w:p>
      <w:pPr>
        <w:spacing w:line="360" w:lineRule="auto"/>
      </w:pPr>
      <w:r>
        <w:rPr>
          <w:rFonts w:hint="eastAsia"/>
        </w:rPr>
        <w:t>4、评价标准</w:t>
      </w:r>
    </w:p>
    <w:p>
      <w:pPr>
        <w:spacing w:line="360" w:lineRule="auto"/>
        <w:ind w:firstLine="600" w:firstLineChars="200"/>
        <w:rPr>
          <w:rFonts w:hint="eastAsia"/>
        </w:rPr>
      </w:pPr>
      <w:r>
        <w:rPr>
          <w:rFonts w:hint="eastAsia"/>
        </w:rPr>
        <w:t>本次项目支出绩效自评采用计划标准，原因是：通过年初制定的目标、计划、预算、定额等作为评价标准来评价公共美术馆、图书馆、文化馆（站）免费开放实施情况</w:t>
      </w:r>
      <w:r>
        <w:rPr>
          <w:rFonts w:hint="eastAsia"/>
          <w:lang w:eastAsia="zh-CN"/>
        </w:rPr>
        <w:t>，根据年初制定的活动计划以及活动开展实施来评价项目完成情况更加直观</w:t>
      </w:r>
      <w:r>
        <w:rPr>
          <w:rFonts w:hint="eastAsia"/>
        </w:rPr>
        <w:t>。</w:t>
      </w:r>
    </w:p>
    <w:p>
      <w:pPr>
        <w:pStyle w:val="3"/>
        <w:spacing w:line="360" w:lineRule="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pPr>
      <w:r>
        <w:rPr>
          <w:rFonts w:hint="eastAsia"/>
        </w:rPr>
        <w:t>1、前期准备：</w:t>
      </w:r>
    </w:p>
    <w:p>
      <w:pPr>
        <w:spacing w:line="360" w:lineRule="auto"/>
        <w:ind w:firstLine="600" w:firstLineChars="200"/>
        <w:rPr>
          <w:rFonts w:hint="eastAsia"/>
        </w:rPr>
      </w:pPr>
      <w:r>
        <w:rPr>
          <w:rFonts w:hint="eastAsia"/>
        </w:rPr>
        <w:t>202</w:t>
      </w:r>
      <w:r>
        <w:rPr>
          <w:rFonts w:hint="eastAsia"/>
          <w:lang w:val="en-US" w:eastAsia="zh-CN"/>
        </w:rPr>
        <w:t>3</w:t>
      </w:r>
      <w:r>
        <w:rPr>
          <w:rFonts w:hint="eastAsia"/>
        </w:rPr>
        <w:t>年</w:t>
      </w:r>
      <w:r>
        <w:rPr>
          <w:rFonts w:hint="eastAsia"/>
          <w:lang w:val="en-US" w:eastAsia="zh-CN"/>
        </w:rPr>
        <w:t>3</w:t>
      </w:r>
      <w:r>
        <w:rPr>
          <w:rFonts w:hint="eastAsia"/>
        </w:rPr>
        <w:t>月1日，</w:t>
      </w:r>
      <w:r>
        <w:rPr>
          <w:rFonts w:hint="eastAsia"/>
          <w:lang w:val="zh-CN"/>
        </w:rPr>
        <w:t>开始前期准备工作，评价组通过前期调研</w:t>
      </w:r>
      <w:r>
        <w:rPr>
          <w:rFonts w:hint="eastAsia"/>
        </w:rPr>
        <w:t>确定绩效评价对象和范围，</w:t>
      </w:r>
      <w:r>
        <w:rPr>
          <w:rFonts w:hint="eastAsia"/>
          <w:lang w:val="zh-CN"/>
        </w:rPr>
        <w:t>确定了评价的目的、方法以及评价的原则，根据项目的内容和特征制定了评价指标体系及评价标准以及评价实施方案，修正并确定所需资料清单，最终确定</w:t>
      </w:r>
      <w:r>
        <w:rPr>
          <w:rFonts w:hint="eastAsia"/>
        </w:rPr>
        <w:t>绩效评价工作方案；</w:t>
      </w:r>
    </w:p>
    <w:p>
      <w:pPr>
        <w:spacing w:line="360" w:lineRule="auto"/>
      </w:pPr>
      <w:r>
        <w:t>2</w:t>
      </w:r>
      <w:r>
        <w:rPr>
          <w:rFonts w:hint="eastAsia"/>
        </w:rPr>
        <w:t>、组织实施：</w:t>
      </w:r>
    </w:p>
    <w:p>
      <w:pPr>
        <w:spacing w:line="360" w:lineRule="auto"/>
        <w:ind w:firstLine="600" w:firstLineChars="200"/>
        <w:rPr>
          <w:rFonts w:hint="eastAsia"/>
        </w:rPr>
      </w:pPr>
      <w:r>
        <w:rPr>
          <w:rFonts w:hint="eastAsia"/>
        </w:rPr>
        <w:t>202</w:t>
      </w:r>
      <w:r>
        <w:rPr>
          <w:rFonts w:hint="eastAsia"/>
          <w:lang w:val="en-US" w:eastAsia="zh-CN"/>
        </w:rPr>
        <w:t>3</w:t>
      </w:r>
      <w:r>
        <w:rPr>
          <w:rFonts w:hint="eastAsia"/>
        </w:rPr>
        <w:t>年</w:t>
      </w:r>
      <w:r>
        <w:rPr>
          <w:rFonts w:hint="eastAsia"/>
          <w:lang w:val="en-US" w:eastAsia="zh-CN"/>
        </w:rPr>
        <w:t>3</w:t>
      </w:r>
      <w:r>
        <w:rPr>
          <w:rFonts w:hint="eastAsia"/>
        </w:rPr>
        <w:t>月</w:t>
      </w:r>
      <w:r>
        <w:rPr>
          <w:rFonts w:hint="eastAsia"/>
          <w:lang w:val="en-US" w:eastAsia="zh-CN"/>
        </w:rPr>
        <w:t>15</w:t>
      </w:r>
      <w:r>
        <w:rPr>
          <w:rFonts w:hint="eastAsia"/>
        </w:rPr>
        <w:t>日，评价工作进入实施阶段，评价组收集绩效评价相关数据资料，进行现场调研、座谈；并与项目实施负责人沟通，了解资金的内容、操作流程、管理机制、资金使用方向等情况，分析形成初步结论。</w:t>
      </w:r>
    </w:p>
    <w:p>
      <w:pPr>
        <w:spacing w:line="360" w:lineRule="auto"/>
      </w:pPr>
      <w:r>
        <w:rPr>
          <w:rFonts w:hint="eastAsia"/>
        </w:rPr>
        <w:t>3、分析评价：</w:t>
      </w:r>
    </w:p>
    <w:p>
      <w:pPr>
        <w:spacing w:line="360" w:lineRule="auto"/>
        <w:ind w:firstLine="600" w:firstLineChars="200"/>
        <w:rPr>
          <w:rFonts w:hint="eastAsia"/>
        </w:rPr>
      </w:pPr>
      <w:r>
        <w:rPr>
          <w:rFonts w:hint="eastAsia"/>
        </w:rPr>
        <w:t>202</w:t>
      </w:r>
      <w:r>
        <w:rPr>
          <w:rFonts w:hint="eastAsia"/>
          <w:lang w:val="en-US" w:eastAsia="zh-CN"/>
        </w:rPr>
        <w:t>3</w:t>
      </w:r>
      <w:r>
        <w:rPr>
          <w:rFonts w:hint="eastAsia"/>
        </w:rPr>
        <w:t>年</w:t>
      </w:r>
      <w:r>
        <w:rPr>
          <w:rFonts w:hint="eastAsia"/>
          <w:lang w:val="en-US" w:eastAsia="zh-CN"/>
        </w:rPr>
        <w:t>3</w:t>
      </w:r>
      <w:r>
        <w:rPr>
          <w:rFonts w:hint="eastAsia"/>
        </w:rPr>
        <w:t>月</w:t>
      </w:r>
      <w:r>
        <w:rPr>
          <w:rFonts w:hint="eastAsia"/>
          <w:lang w:val="en-US" w:eastAsia="zh-CN"/>
        </w:rPr>
        <w:t>16</w:t>
      </w:r>
      <w:r>
        <w:rPr>
          <w:rFonts w:hint="eastAsia"/>
        </w:rPr>
        <w:t>日-</w:t>
      </w:r>
      <w:r>
        <w:rPr>
          <w:rFonts w:hint="eastAsia"/>
          <w:lang w:val="en-US" w:eastAsia="zh-CN"/>
        </w:rPr>
        <w:t>3</w:t>
      </w:r>
      <w:r>
        <w:rPr>
          <w:rFonts w:hint="eastAsia"/>
        </w:rPr>
        <w:t>月</w:t>
      </w:r>
      <w:r>
        <w:rPr>
          <w:rFonts w:hint="eastAsia"/>
          <w:lang w:val="en-US" w:eastAsia="zh-CN"/>
        </w:rPr>
        <w:t>27</w:t>
      </w:r>
      <w:r>
        <w:rPr>
          <w:rFonts w:hint="eastAsia"/>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rFonts w:hint="eastAsia"/>
        </w:rPr>
      </w:pPr>
      <w:r>
        <w:rPr>
          <w:rFonts w:hint="eastAsia"/>
        </w:rPr>
        <w:t>本项目严格按照科学公正、统筹兼顾、激励约束、公开透明的绩效评价原则，采用比较方法，坚持计划标准对本项目的立项、项绩效目标、资金投入、资金管理、组织实施、产出数量、产出质量、产出时效、产出成本、项目效益进行了综合评价。</w:t>
      </w:r>
    </w:p>
    <w:p>
      <w:pPr>
        <w:spacing w:line="360" w:lineRule="auto"/>
        <w:ind w:firstLine="600" w:firstLineChars="200"/>
        <w:jc w:val="center"/>
        <w:rPr>
          <w:rFonts w:hint="eastAsia"/>
        </w:rPr>
      </w:pPr>
      <w:r>
        <w:rPr>
          <w:rFonts w:hint="eastAsia"/>
        </w:rPr>
        <w:t>公共美术馆、图书馆、文化馆（站）免费开放补助支出项目评价得分情况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30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39.99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10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99.99</w:t>
            </w:r>
          </w:p>
        </w:tc>
      </w:tr>
    </w:tbl>
    <w:p>
      <w:pPr>
        <w:pStyle w:val="3"/>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FF0000"/>
        </w:rPr>
      </w:pPr>
      <w:r>
        <w:rPr>
          <w:rFonts w:hint="eastAsia"/>
        </w:rPr>
        <w:t>本项目的项目决策、项目过程、项目产出、项目效益均达到了预期要求，最终得分为</w:t>
      </w:r>
      <w:r>
        <w:rPr>
          <w:rFonts w:hint="eastAsia"/>
          <w:lang w:val="en-US" w:eastAsia="zh-CN"/>
        </w:rPr>
        <w:t>99.99</w:t>
      </w:r>
      <w:r>
        <w:rPr>
          <w:rFonts w:hint="eastAsia"/>
        </w:rPr>
        <w:t>分，</w:t>
      </w:r>
      <w:r>
        <w:rPr>
          <w:rFonts w:hint="eastAsia"/>
          <w:lang w:eastAsia="zh-CN"/>
        </w:rPr>
        <w:t>评价等级为“优”，</w:t>
      </w:r>
      <w:r>
        <w:rPr>
          <w:rFonts w:hint="eastAsia"/>
        </w:rPr>
        <w:t>项目</w:t>
      </w:r>
      <w:r>
        <w:rPr>
          <w:rFonts w:hint="eastAsia"/>
          <w:lang w:eastAsia="zh-CN"/>
        </w:rPr>
        <w:t>大部分</w:t>
      </w:r>
      <w:r>
        <w:rPr>
          <w:rFonts w:hint="eastAsia"/>
        </w:rPr>
        <w:t>达成年度指标</w:t>
      </w:r>
      <w:r>
        <w:rPr>
          <w:rFonts w:hint="eastAsia"/>
          <w:lang w:eastAsia="zh-CN"/>
        </w:rPr>
        <w:t>，成本指标中县公共图书馆、文化馆补贴标准（每馆每年）</w:t>
      </w:r>
      <w:r>
        <w:rPr>
          <w:rFonts w:hint="eastAsia"/>
          <w:lang w:val="en-US" w:eastAsia="zh-CN"/>
        </w:rPr>
        <w:t>20万元，免费开放暑期培训班培训材料未配足</w:t>
      </w:r>
      <w:r>
        <w:rPr>
          <w:rFonts w:hint="eastAsia"/>
        </w:rPr>
        <w:t>。</w:t>
      </w:r>
    </w:p>
    <w:p>
      <w:pPr>
        <w:pStyle w:val="2"/>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pPr>
      <w:r>
        <w:rPr>
          <w:rFonts w:hint="eastAsia"/>
        </w:rPr>
        <w:t>1、立项依据充分性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项目立项依据按照文化部、财政部联合下发的《关于推进全国美术馆、公共图书馆、文化馆（站）免费开放工作的意见》（文财务发【2011】5号）符合国家法律法规、国民经济发展规划和相关政策；</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项目立项符合行业发展规划和政策要求；项目立项与部门职责范围相符，属于部门履职所需；项目属于公共财政支持范围，符合中央、地方事权支出责任划分原则；项目</w:t>
      </w:r>
      <w:r>
        <w:rPr>
          <w:rFonts w:hint="eastAsia"/>
          <w:color w:val="000000" w:themeColor="text1"/>
          <w:lang w:eastAsia="zh-CN"/>
          <w14:textFill>
            <w14:solidFill>
              <w14:schemeClr w14:val="tx1"/>
            </w14:solidFill>
          </w14:textFill>
        </w:rPr>
        <w:t>不</w:t>
      </w:r>
      <w:r>
        <w:rPr>
          <w:rFonts w:hint="eastAsia"/>
          <w:color w:val="000000" w:themeColor="text1"/>
          <w14:textFill>
            <w14:solidFill>
              <w14:schemeClr w14:val="tx1"/>
            </w14:solidFill>
          </w14:textFill>
        </w:rPr>
        <w:t>与相关部门同类项目或部门内部相关项目重复。</w:t>
      </w:r>
    </w:p>
    <w:p>
      <w:pPr>
        <w:spacing w:line="360" w:lineRule="auto"/>
        <w:ind w:firstLine="600" w:firstLineChars="200"/>
      </w:pPr>
      <w:r>
        <w:rPr>
          <w:rFonts w:hint="eastAsia"/>
        </w:rPr>
        <w:t>2、立项程序规范性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项目按照规定的程序申请设立；审批文件、材料符合相关要求；</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事前已经过必要的可行性研究、专家论证、风险评估、绩效评估、集体决策。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公共美术馆、图书馆、文化馆（站）免费开放补助支出项目设立了项目绩效目标，与“三馆一站”免费开放工作具有相关性，项目的预期产出效益和效果也均能符合正常的业绩水平，并且与预算确定的项目投资额或资金量相匹配。</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4、绩效指标明确性</w:t>
      </w:r>
    </w:p>
    <w:p>
      <w:pPr>
        <w:spacing w:line="360" w:lineRule="auto"/>
        <w:ind w:firstLine="600" w:firstLineChars="200"/>
        <w:rPr>
          <w:color w:val="000000" w:themeColor="text1"/>
          <w14:textFill>
            <w14:solidFill>
              <w14:schemeClr w14:val="tx1"/>
            </w14:solidFill>
          </w14:textFill>
        </w:rPr>
      </w:pPr>
      <w:bookmarkStart w:id="12" w:name="_Hlk68699917"/>
      <w:r>
        <w:rPr>
          <w:rFonts w:hint="eastAsia"/>
          <w:color w:val="000000" w:themeColor="text1"/>
          <w14:textFill>
            <w14:solidFill>
              <w14:schemeClr w14:val="tx1"/>
            </w14:solidFill>
          </w14:textFill>
        </w:rPr>
        <w:t>公共美术馆、图书馆、文化馆（站）免费开放补助支出项目将项目绩效目标细化分解为具体的绩效指标，一级指标共3条，二级指标共</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条，三级指标共1</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条，其中量化指标条数共</w:t>
      </w:r>
      <w:r>
        <w:rPr>
          <w:rFonts w:hint="eastAsia"/>
          <w:color w:val="000000" w:themeColor="text1"/>
          <w:lang w:val="en-US" w:eastAsia="zh-CN"/>
          <w14:textFill>
            <w14:solidFill>
              <w14:schemeClr w14:val="tx1"/>
            </w14:solidFill>
          </w14:textFill>
        </w:rPr>
        <w:t>16</w:t>
      </w:r>
      <w:r>
        <w:rPr>
          <w:rFonts w:hint="eastAsia"/>
          <w:color w:val="000000" w:themeColor="text1"/>
          <w14:textFill>
            <w14:solidFill>
              <w14:schemeClr w14:val="tx1"/>
            </w14:solidFill>
          </w14:textFill>
        </w:rPr>
        <w:t>条，所有绩效指标均通过清晰、可衡量的指标值予以体现，并且做到了与项目目标任务数或计划数相对应。</w:t>
      </w:r>
      <w:bookmarkEnd w:id="12"/>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5、预算编制科学性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公共美术馆、图书馆、文化馆（站）免费开放补助支出项目预算编制经过科学论证；预算内容与项目内容匹配；预算额度测算依据充分并按照标准编制；预算确定的项目资金量与工作任务相匹配。</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6、资金分配合理性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公共美术馆、图书馆、文化馆（站）免费开放补助支出项目预算资金分配依据充分；资金分配额度合理，与霍城县免费开放工作实际相适应。</w:t>
      </w:r>
    </w:p>
    <w:p>
      <w:pPr>
        <w:pStyle w:val="3"/>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auto"/>
        </w:rPr>
      </w:pPr>
      <w:r>
        <w:rPr>
          <w:rFonts w:hint="eastAsia"/>
          <w:color w:val="auto"/>
        </w:rPr>
        <w:t>预算资金88万元，实际到位资金</w:t>
      </w:r>
      <w:r>
        <w:rPr>
          <w:rFonts w:hint="eastAsia"/>
          <w:color w:val="auto"/>
          <w:lang w:val="en-US" w:eastAsia="zh-CN"/>
        </w:rPr>
        <w:t>87.97</w:t>
      </w:r>
      <w:r>
        <w:rPr>
          <w:rFonts w:hint="eastAsia"/>
          <w:color w:val="auto"/>
        </w:rPr>
        <w:t>万元，资金到位率99.97%。</w:t>
      </w:r>
    </w:p>
    <w:p>
      <w:pPr>
        <w:spacing w:line="360" w:lineRule="auto"/>
        <w:rPr>
          <w:color w:val="auto"/>
        </w:rPr>
      </w:pPr>
      <w:r>
        <w:rPr>
          <w:rFonts w:hint="eastAsia"/>
        </w:rPr>
        <w:t>2、</w:t>
      </w:r>
      <w:r>
        <w:rPr>
          <w:rFonts w:hint="eastAsia"/>
          <w:color w:val="auto"/>
        </w:rPr>
        <w:t>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0</w:t>
      </w:r>
      <w:r>
        <w:rPr>
          <w:rFonts w:hint="eastAsia"/>
          <w:color w:val="auto"/>
        </w:rPr>
        <w:t>万元，全年预算数88万元，全年执行数87.97万元，预算执行率为99.97 %</w:t>
      </w:r>
      <w:r>
        <w:rPr>
          <w:rFonts w:hint="eastAsia"/>
          <w:color w:val="auto"/>
          <w:lang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rPr>
        <w:t>公共美术馆、图书馆、文化馆（站）免费开放补助支出项目符合国家财经法规和财务管理制度以及有关专项资金管理办法的规定；资金的拨付有完整的审批程序和手续；符合项目预算批复规定的用途；不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rPr>
        <w:t>公共美术馆、图书馆、文化馆（站）免费开放补助支出项目已制定免费开放工作管理条例和实施方案；财务和业务管理制度合法、合规、完整。</w:t>
      </w:r>
    </w:p>
    <w:p>
      <w:pPr>
        <w:spacing w:line="360" w:lineRule="auto"/>
        <w:rPr>
          <w:color w:val="auto"/>
        </w:rPr>
      </w:pPr>
      <w:r>
        <w:rPr>
          <w:rFonts w:hint="eastAsia"/>
          <w:color w:val="auto"/>
        </w:rPr>
        <w:t>5、制度执行有效性</w:t>
      </w:r>
    </w:p>
    <w:p>
      <w:pPr>
        <w:spacing w:line="360" w:lineRule="auto"/>
        <w:ind w:firstLine="750" w:firstLineChars="250"/>
        <w:rPr>
          <w:color w:val="auto"/>
        </w:rPr>
      </w:pPr>
      <w:r>
        <w:rPr>
          <w:rFonts w:hint="eastAsia"/>
          <w:color w:val="auto"/>
        </w:rPr>
        <w:t>公共美术馆、图书馆、文化馆（站）免费开放补助支出项目遵守《公共文化服务保障法》；项目调整及支出调整手续完备；公共美术馆、图书馆、文化馆（站）免费开放补助支出项目实施的人员条件、场地设备均落实到位。</w:t>
      </w:r>
    </w:p>
    <w:p>
      <w:pPr>
        <w:pStyle w:val="3"/>
        <w:spacing w:line="360" w:lineRule="auto"/>
        <w:rPr>
          <w:rFonts w:ascii="仿宋_GB2312" w:eastAsia="仿宋_GB2312"/>
          <w:b w:val="0"/>
          <w:bCs w:val="0"/>
          <w:color w:val="auto"/>
        </w:rPr>
      </w:pPr>
      <w:bookmarkStart w:id="14" w:name="_Toc68703840"/>
      <w:r>
        <w:rPr>
          <w:rFonts w:hint="eastAsia" w:ascii="仿宋_GB2312" w:eastAsia="仿宋_GB2312"/>
          <w:b w:val="0"/>
          <w:bCs w:val="0"/>
        </w:rPr>
        <w:t>（</w:t>
      </w:r>
      <w:r>
        <w:rPr>
          <w:rFonts w:hint="eastAsia" w:ascii="仿宋_GB2312" w:eastAsia="仿宋_GB2312"/>
          <w:b w:val="0"/>
          <w:bCs w:val="0"/>
          <w:color w:val="auto"/>
        </w:rPr>
        <w:t>三）项目产出情况。</w:t>
      </w:r>
      <w:bookmarkEnd w:id="14"/>
    </w:p>
    <w:p>
      <w:pPr>
        <w:spacing w:line="360" w:lineRule="auto"/>
        <w:ind w:firstLine="600" w:firstLineChars="200"/>
        <w:rPr>
          <w:rFonts w:hint="eastAsia" w:eastAsia="仿宋_GB2312"/>
          <w:color w:val="auto"/>
          <w:lang w:eastAsia="zh-CN"/>
        </w:rPr>
      </w:pPr>
      <w:r>
        <w:rPr>
          <w:rFonts w:hint="eastAsia"/>
          <w:color w:val="auto"/>
        </w:rPr>
        <w:t>1、数量指标：指标1：免费开放公共图书馆，指标值：</w:t>
      </w:r>
      <w:r>
        <w:rPr>
          <w:rFonts w:hint="eastAsia"/>
          <w:color w:val="auto"/>
          <w:lang w:val="en-US" w:eastAsia="zh-CN"/>
        </w:rPr>
        <w:t>=</w:t>
      </w:r>
      <w:r>
        <w:rPr>
          <w:rFonts w:hint="eastAsia"/>
          <w:color w:val="auto"/>
        </w:rPr>
        <w:t>1</w:t>
      </w:r>
      <w:r>
        <w:rPr>
          <w:rFonts w:hint="eastAsia"/>
          <w:color w:val="auto"/>
          <w:lang w:eastAsia="zh-CN"/>
        </w:rPr>
        <w:t>个</w:t>
      </w:r>
      <w:r>
        <w:rPr>
          <w:rFonts w:hint="eastAsia"/>
          <w:color w:val="auto"/>
        </w:rPr>
        <w:t>，实际完成值1</w:t>
      </w:r>
      <w:r>
        <w:rPr>
          <w:rFonts w:hint="eastAsia"/>
          <w:color w:val="auto"/>
          <w:lang w:eastAsia="zh-CN"/>
        </w:rPr>
        <w:t>个</w:t>
      </w:r>
      <w:r>
        <w:rPr>
          <w:rFonts w:hint="eastAsia"/>
          <w:color w:val="auto"/>
        </w:rPr>
        <w:t>，指标完成率100%</w:t>
      </w:r>
      <w:r>
        <w:rPr>
          <w:rFonts w:hint="eastAsia"/>
          <w:color w:val="auto"/>
          <w:lang w:eastAsia="zh-CN"/>
        </w:rPr>
        <w:t>；</w:t>
      </w:r>
      <w:r>
        <w:rPr>
          <w:rFonts w:hint="eastAsia"/>
          <w:color w:val="auto"/>
        </w:rPr>
        <w:t>指标2：免费开放乡镇文化站，指标值：</w:t>
      </w:r>
      <w:r>
        <w:rPr>
          <w:rFonts w:hint="eastAsia"/>
          <w:color w:val="auto"/>
          <w:lang w:val="en-US" w:eastAsia="zh-CN"/>
        </w:rPr>
        <w:t>=</w:t>
      </w:r>
      <w:r>
        <w:rPr>
          <w:rFonts w:hint="eastAsia"/>
          <w:color w:val="auto"/>
        </w:rPr>
        <w:t>10个，实际完成值10个，指标完成率100%</w:t>
      </w:r>
      <w:r>
        <w:rPr>
          <w:rFonts w:hint="eastAsia"/>
          <w:color w:val="auto"/>
          <w:lang w:eastAsia="zh-CN"/>
        </w:rPr>
        <w:t>；</w:t>
      </w:r>
      <w:r>
        <w:rPr>
          <w:rFonts w:hint="eastAsia"/>
          <w:color w:val="auto"/>
        </w:rPr>
        <w:t>指标3：举办各类免费开放活动、培训、讲座场次（次），指标值：</w:t>
      </w:r>
      <w:r>
        <w:rPr>
          <w:rFonts w:hint="eastAsia"/>
          <w:color w:val="auto"/>
          <w:lang w:val="en-US" w:eastAsia="zh-CN"/>
        </w:rPr>
        <w:t>=</w:t>
      </w:r>
      <w:r>
        <w:rPr>
          <w:rFonts w:hint="eastAsia"/>
          <w:color w:val="auto"/>
        </w:rPr>
        <w:t>12次，实际完成值12次，指标完成率100%。指标4：免费开放文化馆，指标值：</w:t>
      </w:r>
      <w:r>
        <w:rPr>
          <w:rFonts w:hint="eastAsia"/>
          <w:color w:val="auto"/>
          <w:lang w:val="en-US" w:eastAsia="zh-CN"/>
        </w:rPr>
        <w:t>=</w:t>
      </w:r>
      <w:r>
        <w:rPr>
          <w:rFonts w:hint="eastAsia"/>
          <w:color w:val="auto"/>
        </w:rPr>
        <w:t>1个，实际完成值1个，指标完成率100%</w:t>
      </w:r>
      <w:r>
        <w:rPr>
          <w:rFonts w:hint="eastAsia"/>
          <w:color w:val="auto"/>
          <w:lang w:eastAsia="zh-CN"/>
        </w:rPr>
        <w:t>，</w:t>
      </w:r>
      <w:r>
        <w:rPr>
          <w:rFonts w:hint="eastAsia"/>
          <w:color w:val="auto"/>
        </w:rPr>
        <w:t>指标</w:t>
      </w:r>
      <w:r>
        <w:rPr>
          <w:rFonts w:hint="eastAsia"/>
          <w:color w:val="auto"/>
          <w:lang w:val="en-US" w:eastAsia="zh-CN"/>
        </w:rPr>
        <w:t>5</w:t>
      </w:r>
      <w:r>
        <w:rPr>
          <w:rFonts w:hint="eastAsia"/>
          <w:color w:val="auto"/>
        </w:rPr>
        <w:t>：城市社区（街道）文化中心，指标值：</w:t>
      </w:r>
      <w:r>
        <w:rPr>
          <w:rFonts w:hint="eastAsia"/>
          <w:color w:val="auto"/>
          <w:lang w:val="en-US" w:eastAsia="zh-CN"/>
        </w:rPr>
        <w:t>=0</w:t>
      </w:r>
      <w:r>
        <w:rPr>
          <w:rFonts w:hint="eastAsia"/>
          <w:color w:val="auto"/>
        </w:rPr>
        <w:t>，实际完成值</w:t>
      </w:r>
      <w:r>
        <w:rPr>
          <w:rFonts w:hint="eastAsia"/>
          <w:color w:val="auto"/>
          <w:lang w:val="en-US" w:eastAsia="zh-CN"/>
        </w:rPr>
        <w:t>0</w:t>
      </w:r>
      <w:r>
        <w:rPr>
          <w:rFonts w:hint="eastAsia"/>
          <w:color w:val="auto"/>
        </w:rPr>
        <w:t>，指标完成率100%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color w:val="auto"/>
        </w:rPr>
        <w:t>2</w:t>
      </w:r>
      <w:r>
        <w:rPr>
          <w:rFonts w:hint="eastAsia"/>
          <w:color w:val="auto"/>
        </w:rPr>
        <w:t>、质量指标：指标1：免费开放绩效考评率，指标值：</w:t>
      </w:r>
      <w:r>
        <w:rPr>
          <w:color w:val="auto"/>
        </w:rPr>
        <w:t>&gt;=95%</w:t>
      </w:r>
      <w:r>
        <w:rPr>
          <w:rFonts w:hint="eastAsia"/>
          <w:color w:val="auto"/>
        </w:rPr>
        <w:t>，实际完成值9</w:t>
      </w:r>
      <w:r>
        <w:rPr>
          <w:rFonts w:hint="eastAsia"/>
          <w:color w:val="auto"/>
          <w:lang w:val="en-US" w:eastAsia="zh-CN"/>
        </w:rPr>
        <w:t>5</w:t>
      </w:r>
      <w:r>
        <w:rPr>
          <w:rFonts w:hint="eastAsia"/>
          <w:color w:val="auto"/>
        </w:rPr>
        <w:t>%，指标完成率100%；指标2：馆内设施设备利用率，指标值：</w:t>
      </w:r>
      <w:r>
        <w:rPr>
          <w:color w:val="auto"/>
        </w:rPr>
        <w:t>&gt;=98%</w:t>
      </w:r>
      <w:r>
        <w:rPr>
          <w:rFonts w:hint="eastAsia"/>
          <w:color w:val="auto"/>
        </w:rPr>
        <w:t>，实际完成值9</w:t>
      </w:r>
      <w:r>
        <w:rPr>
          <w:rFonts w:hint="eastAsia"/>
          <w:color w:val="auto"/>
          <w:lang w:val="en-US" w:eastAsia="zh-CN"/>
        </w:rPr>
        <w:t>8</w:t>
      </w:r>
      <w:r>
        <w:rPr>
          <w:rFonts w:hint="eastAsia"/>
          <w:color w:val="auto"/>
        </w:rPr>
        <w:t>%，指标完成率100%</w:t>
      </w:r>
      <w:r>
        <w:rPr>
          <w:rFonts w:hint="eastAsia"/>
          <w:color w:val="auto"/>
          <w:lang w:eastAsia="zh-CN"/>
        </w:rPr>
        <w:t>；</w:t>
      </w:r>
      <w:r>
        <w:rPr>
          <w:rFonts w:hint="eastAsia"/>
          <w:color w:val="auto"/>
        </w:rPr>
        <w:t>指标3：“三馆一站”免费开展覆盖率，指标值：</w:t>
      </w:r>
      <w:r>
        <w:rPr>
          <w:rFonts w:hint="eastAsia"/>
          <w:color w:val="auto"/>
          <w:lang w:val="en-US" w:eastAsia="zh-CN"/>
        </w:rPr>
        <w:t>=</w:t>
      </w:r>
      <w:r>
        <w:rPr>
          <w:rFonts w:hint="eastAsia"/>
          <w:color w:val="auto"/>
        </w:rPr>
        <w:t>100</w:t>
      </w:r>
      <w:r>
        <w:rPr>
          <w:color w:val="auto"/>
        </w:rPr>
        <w:t>%</w:t>
      </w:r>
      <w:r>
        <w:rPr>
          <w:rFonts w:hint="eastAsia"/>
          <w:color w:val="auto"/>
        </w:rPr>
        <w:t>，实际完成值100%，指标完成率100%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3、时效指标：指标1：全年免费开放完成率，指标值：</w:t>
      </w:r>
      <w:r>
        <w:rPr>
          <w:rFonts w:hint="eastAsia"/>
          <w:color w:val="auto"/>
          <w:lang w:val="en-US" w:eastAsia="zh-CN"/>
        </w:rPr>
        <w:t>=</w:t>
      </w:r>
      <w:r>
        <w:rPr>
          <w:rFonts w:hint="eastAsia"/>
          <w:color w:val="auto"/>
        </w:rPr>
        <w:t>100</w:t>
      </w:r>
      <w:r>
        <w:rPr>
          <w:color w:val="auto"/>
        </w:rPr>
        <w:t>%</w:t>
      </w:r>
      <w:r>
        <w:rPr>
          <w:rFonts w:hint="eastAsia"/>
          <w:color w:val="auto"/>
        </w:rPr>
        <w:t>，实际完成值100%，指标完成率100%</w:t>
      </w:r>
      <w:r>
        <w:rPr>
          <w:rFonts w:hint="eastAsia"/>
          <w:color w:val="auto"/>
          <w:lang w:eastAsia="zh-CN"/>
        </w:rPr>
        <w:t>；</w:t>
      </w:r>
    </w:p>
    <w:p>
      <w:pPr>
        <w:spacing w:line="360" w:lineRule="auto"/>
        <w:ind w:firstLine="600" w:firstLineChars="200"/>
        <w:rPr>
          <w:rFonts w:hint="eastAsia" w:eastAsia="仿宋_GB2312"/>
          <w:color w:val="auto"/>
          <w:lang w:val="en-US" w:eastAsia="zh-CN"/>
        </w:rPr>
      </w:pPr>
      <w:r>
        <w:rPr>
          <w:rFonts w:hint="eastAsia"/>
          <w:color w:val="auto"/>
        </w:rPr>
        <w:t>4、成本指标：指标1：县公共图书馆、文化馆补贴标准（每馆每年），指标值：≤20万元，实际完成值</w:t>
      </w:r>
      <w:r>
        <w:rPr>
          <w:rFonts w:hint="eastAsia"/>
          <w:color w:val="auto"/>
          <w:lang w:val="en-US" w:eastAsia="zh-CN"/>
        </w:rPr>
        <w:t>19.97</w:t>
      </w:r>
      <w:r>
        <w:rPr>
          <w:rFonts w:hint="eastAsia"/>
          <w:color w:val="auto"/>
        </w:rPr>
        <w:t>万元，指标完成率</w:t>
      </w:r>
      <w:r>
        <w:rPr>
          <w:rFonts w:hint="eastAsia"/>
          <w:color w:val="auto"/>
          <w:lang w:val="en-US" w:eastAsia="zh-CN"/>
        </w:rPr>
        <w:t>99.85</w:t>
      </w:r>
      <w:r>
        <w:rPr>
          <w:rFonts w:hint="eastAsia"/>
          <w:color w:val="auto"/>
        </w:rPr>
        <w:t>%</w:t>
      </w:r>
      <w:r>
        <w:rPr>
          <w:rFonts w:hint="eastAsia"/>
          <w:color w:val="auto"/>
          <w:lang w:eastAsia="zh-CN"/>
        </w:rPr>
        <w:t>，偏差原因：</w:t>
      </w:r>
      <w:r>
        <w:rPr>
          <w:rFonts w:hint="eastAsia"/>
          <w:color w:val="auto"/>
          <w:lang w:val="en-US" w:eastAsia="zh-CN"/>
        </w:rPr>
        <w:t>免费开放暑期培训班培训材料未配足</w:t>
      </w:r>
      <w:r>
        <w:rPr>
          <w:rFonts w:hint="eastAsia"/>
          <w:color w:val="auto"/>
        </w:rPr>
        <w:t>；指标2：免费开放乡镇文化站补贴标准（每站每年），指标值：≤5万元，实际完成值</w:t>
      </w:r>
      <w:r>
        <w:rPr>
          <w:rFonts w:hint="eastAsia"/>
          <w:color w:val="auto"/>
          <w:lang w:val="en-US" w:eastAsia="zh-CN"/>
        </w:rPr>
        <w:t>5万元</w:t>
      </w:r>
      <w:r>
        <w:rPr>
          <w:rFonts w:hint="eastAsia"/>
          <w:color w:val="auto"/>
        </w:rPr>
        <w:t>，指标完成率100%；指标3：举办各类免费开放活动、培训、讲座费用，指标值：≤18万元，实际完成值</w:t>
      </w:r>
      <w:r>
        <w:rPr>
          <w:rFonts w:hint="eastAsia"/>
          <w:color w:val="auto"/>
          <w:lang w:val="en-US" w:eastAsia="zh-CN"/>
        </w:rPr>
        <w:t>18万元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4：地市级公共图书馆、美术馆、文化馆每馆每年补助标准（50万*0.8），</w:t>
      </w:r>
      <w:r>
        <w:rPr>
          <w:rFonts w:hint="eastAsia"/>
          <w:color w:val="auto"/>
        </w:rPr>
        <w:t>指标值：</w:t>
      </w:r>
      <w:r>
        <w:rPr>
          <w:rFonts w:hint="eastAsia"/>
          <w:color w:val="auto"/>
          <w:lang w:val="en-US" w:eastAsia="zh-CN"/>
        </w:rPr>
        <w:t>=0，</w:t>
      </w:r>
      <w:r>
        <w:rPr>
          <w:rFonts w:hint="eastAsia"/>
          <w:color w:val="auto"/>
        </w:rPr>
        <w:t>实际完成值</w:t>
      </w:r>
      <w:r>
        <w:rPr>
          <w:rFonts w:hint="eastAsia"/>
          <w:color w:val="auto"/>
          <w:lang w:val="en-US" w:eastAsia="zh-CN"/>
        </w:rPr>
        <w:t>,0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5：县市级公共图书馆、美术馆、文化馆每馆每年补助标准（20万*0.8）</w:t>
      </w:r>
      <w:r>
        <w:rPr>
          <w:rFonts w:hint="eastAsia"/>
          <w:color w:val="auto"/>
          <w:lang w:val="en-US" w:eastAsia="zh-CN"/>
        </w:rPr>
        <w:tab/>
      </w:r>
      <w:r>
        <w:rPr>
          <w:rFonts w:hint="eastAsia"/>
          <w:color w:val="auto"/>
          <w:lang w:val="en-US" w:eastAsia="zh-CN"/>
        </w:rPr>
        <w:t>，</w:t>
      </w:r>
      <w:r>
        <w:rPr>
          <w:rFonts w:hint="eastAsia"/>
          <w:color w:val="auto"/>
        </w:rPr>
        <w:t>指标值：</w:t>
      </w:r>
      <w:r>
        <w:rPr>
          <w:rFonts w:hint="eastAsia"/>
          <w:color w:val="auto"/>
          <w:lang w:val="en-US" w:eastAsia="zh-CN"/>
        </w:rPr>
        <w:t>=0，</w:t>
      </w:r>
      <w:r>
        <w:rPr>
          <w:rFonts w:hint="eastAsia"/>
          <w:color w:val="auto"/>
        </w:rPr>
        <w:t>实际完成值</w:t>
      </w:r>
      <w:r>
        <w:rPr>
          <w:rFonts w:hint="eastAsia"/>
          <w:color w:val="auto"/>
          <w:lang w:val="en-US" w:eastAsia="zh-CN"/>
        </w:rPr>
        <w:t>,0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6：乡镇（街道）综合文化站（中心）每年补助标准（5万*0.8）</w:t>
      </w:r>
      <w:r>
        <w:rPr>
          <w:rFonts w:hint="eastAsia"/>
          <w:color w:val="auto"/>
          <w:lang w:val="en-US" w:eastAsia="zh-CN"/>
        </w:rPr>
        <w:tab/>
      </w:r>
      <w:r>
        <w:rPr>
          <w:rFonts w:hint="eastAsia"/>
          <w:color w:val="auto"/>
          <w:lang w:val="en-US" w:eastAsia="zh-CN"/>
        </w:rPr>
        <w:t>，</w:t>
      </w:r>
      <w:r>
        <w:rPr>
          <w:rFonts w:hint="eastAsia"/>
          <w:color w:val="auto"/>
        </w:rPr>
        <w:t>指标值：</w:t>
      </w:r>
      <w:r>
        <w:rPr>
          <w:rFonts w:hint="eastAsia"/>
          <w:color w:val="auto"/>
          <w:lang w:val="en-US" w:eastAsia="zh-CN"/>
        </w:rPr>
        <w:t>=0，</w:t>
      </w:r>
      <w:r>
        <w:rPr>
          <w:rFonts w:hint="eastAsia"/>
          <w:color w:val="auto"/>
        </w:rPr>
        <w:t>实际完成值</w:t>
      </w:r>
      <w:r>
        <w:rPr>
          <w:rFonts w:hint="eastAsia"/>
          <w:color w:val="auto"/>
          <w:lang w:val="en-US" w:eastAsia="zh-CN"/>
        </w:rPr>
        <w:t>,0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3"/>
        <w:spacing w:line="360" w:lineRule="auto"/>
        <w:rPr>
          <w:rFonts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rFonts w:hint="eastAsia" w:eastAsia="仿宋_GB2312"/>
          <w:color w:val="auto"/>
          <w:lang w:eastAsia="zh-CN"/>
        </w:rPr>
      </w:pPr>
      <w:r>
        <w:rPr>
          <w:rFonts w:hint="eastAsia"/>
          <w:color w:val="auto"/>
          <w:lang w:val="en-US" w:eastAsia="zh-CN"/>
        </w:rPr>
        <w:t>1</w:t>
      </w:r>
      <w:r>
        <w:rPr>
          <w:rFonts w:hint="eastAsia"/>
          <w:color w:val="auto"/>
        </w:rPr>
        <w:t>、社会效益指标：指标1：保障群众精神文化需求，指标值：有效保障，实际完成值：有效保障，指标完成率100%；指标2：免费开放工作实施效果，指标值：效果显著，实际完成值效果显著，指标完成率100%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lang w:val="en-US" w:eastAsia="zh-CN"/>
        </w:rPr>
        <w:t>2</w:t>
      </w:r>
      <w:r>
        <w:rPr>
          <w:rFonts w:hint="eastAsia"/>
          <w:color w:val="auto"/>
        </w:rPr>
        <w:t>、可持续影响指标：指标1：弘扬传承中华优秀传统文化，指标值：有效保障，实际完成值：有效保障，指标完成率100%</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lang w:val="en-US" w:eastAsia="zh-CN"/>
        </w:rPr>
        <w:t>3</w:t>
      </w:r>
      <w:r>
        <w:rPr>
          <w:rFonts w:hint="eastAsia"/>
          <w:color w:val="auto"/>
        </w:rPr>
        <w:t>、满意度指标：指标1：社会公众对“三馆一站”公共文化服务满意度，指标值：</w:t>
      </w:r>
      <w:r>
        <w:rPr>
          <w:color w:val="auto"/>
        </w:rPr>
        <w:t>&gt;=98%</w:t>
      </w:r>
      <w:r>
        <w:rPr>
          <w:rFonts w:hint="eastAsia"/>
          <w:color w:val="auto"/>
        </w:rPr>
        <w:t>，实际完成值：9</w:t>
      </w:r>
      <w:r>
        <w:rPr>
          <w:rFonts w:hint="eastAsia"/>
          <w:color w:val="auto"/>
          <w:lang w:val="en-US" w:eastAsia="zh-CN"/>
        </w:rPr>
        <w:t>8</w:t>
      </w:r>
      <w:r>
        <w:rPr>
          <w:rFonts w:hint="eastAsia"/>
          <w:color w:val="auto"/>
        </w:rPr>
        <w:t>%，指标完成率100%</w:t>
      </w:r>
      <w:r>
        <w:rPr>
          <w:rFonts w:hint="eastAsia"/>
          <w:color w:val="auto"/>
          <w:lang w:eastAsia="zh-CN"/>
        </w:rPr>
        <w:t>。</w:t>
      </w:r>
    </w:p>
    <w:p>
      <w:pPr>
        <w:pStyle w:val="2"/>
        <w:spacing w:line="360" w:lineRule="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3"/>
        <w:spacing w:line="360" w:lineRule="auto"/>
        <w:rPr>
          <w:rFonts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spacing w:line="500" w:lineRule="exact"/>
        <w:ind w:right="884" w:firstLine="300" w:firstLineChars="100"/>
        <w:rPr>
          <w:color w:val="auto"/>
        </w:rPr>
      </w:pPr>
      <w:bookmarkStart w:id="18" w:name="_Toc68703844"/>
      <w:r>
        <w:rPr>
          <w:rFonts w:hint="eastAsia"/>
          <w:color w:val="auto"/>
        </w:rPr>
        <w:t>1、认真贯彻落实中央关于公共文化机构免费开放的要求，全面推动图书挂、文化馆、文化站免费开放，吸引广大群众走进公共文化设施，享受政府提供的文化服务。2、免费开放经费的有力保障才能顺利开展三馆一站免费开放工作，各级配到资金落实到位，并做到了专款专用。3、全面提升公共文化服务水平，丰富培训内容，设有美术、舞蹈、声乐、书法、剪纸、茶艺、插花等面向不同人群感兴趣的培训班。4、创新发展思路，举办优质品牌活动，满足广大群众的精神文化需求。</w:t>
      </w:r>
    </w:p>
    <w:p>
      <w:pPr>
        <w:pStyle w:val="3"/>
        <w:spacing w:line="360" w:lineRule="auto"/>
        <w:rPr>
          <w:rFonts w:ascii="仿宋_GB2312" w:eastAsia="仿宋_GB2312"/>
          <w:b w:val="0"/>
          <w:bCs w:val="0"/>
          <w:color w:val="auto"/>
        </w:rPr>
      </w:pPr>
      <w:r>
        <w:rPr>
          <w:rFonts w:hint="eastAsia" w:ascii="仿宋_GB2312" w:eastAsia="仿宋_GB2312"/>
          <w:b w:val="0"/>
          <w:bCs w:val="0"/>
          <w:color w:val="auto"/>
        </w:rPr>
        <w:t>（二）存在的问题及原因分析</w:t>
      </w:r>
      <w:bookmarkEnd w:id="18"/>
    </w:p>
    <w:p>
      <w:pPr>
        <w:spacing w:line="560" w:lineRule="exact"/>
        <w:ind w:firstLine="297" w:firstLineChars="99"/>
        <w:rPr>
          <w:color w:val="auto"/>
        </w:rPr>
      </w:pPr>
      <w:r>
        <w:rPr>
          <w:rFonts w:hint="eastAsia"/>
          <w:color w:val="auto"/>
        </w:rPr>
        <w:t>一是提供“菜单式”服务，加强基层文化人才队伍建设，大力举办文化能人、民间艺人、文化带头人业务培训，提升基层群众自办活动能力。二是推进文化场地建设，抓好文化馆、图书馆总分馆建设，深化“两馆一站”免费开放，通过农家书屋新增图书工作促进全民阅读活动，实施农村“一村一月一场电影”，扩大文化惠民政策普及范围，解决最后一公里、最远一家人均等享受文化惠民权利的问题。三是提高乡镇综合文化站和村级综合性文化服务中心多用途使用功能，发挥宣传、教育、会议、培训、文体活动等一站（中心）多用作用，使乡镇综合文化站和村综合性文化服务中心覆盖率98%以上。</w:t>
      </w:r>
    </w:p>
    <w:p>
      <w:pPr>
        <w:pStyle w:val="2"/>
        <w:spacing w:line="360" w:lineRule="auto"/>
        <w:rPr>
          <w:rFonts w:ascii="宋体" w:hAnsi="宋体" w:eastAsia="宋体"/>
          <w:color w:val="auto"/>
          <w:sz w:val="32"/>
          <w:szCs w:val="32"/>
        </w:rPr>
      </w:pPr>
      <w:bookmarkStart w:id="19" w:name="_Toc68703845"/>
      <w:r>
        <w:rPr>
          <w:rFonts w:hint="eastAsia" w:ascii="宋体" w:hAnsi="宋体" w:eastAsia="宋体"/>
          <w:color w:val="auto"/>
          <w:sz w:val="32"/>
          <w:szCs w:val="32"/>
        </w:rPr>
        <w:t>六、有关建议</w:t>
      </w:r>
      <w:bookmarkEnd w:id="19"/>
    </w:p>
    <w:p>
      <w:pPr>
        <w:spacing w:line="560" w:lineRule="exact"/>
        <w:ind w:firstLine="297" w:firstLineChars="99"/>
        <w:rPr>
          <w:rFonts w:hint="eastAsia"/>
          <w:color w:val="auto"/>
        </w:rPr>
      </w:pPr>
      <w:r>
        <w:rPr>
          <w:rFonts w:hint="eastAsia"/>
          <w:color w:val="auto"/>
        </w:rPr>
        <w:t>强化资金管理，提高投资效益。严格按照中央预算内专项资金使用管理要求，专款专用、高效支付，确保资金准确、及时发挥作用, 严防中央资金被挤占、挪用或沉淀等现象发生，确保达到预期效果。</w:t>
      </w:r>
    </w:p>
    <w:p>
      <w:pPr>
        <w:pStyle w:val="2"/>
        <w:spacing w:line="360" w:lineRule="auto"/>
        <w:rPr>
          <w:rFonts w:ascii="宋体" w:hAnsi="宋体" w:eastAsia="宋体"/>
          <w:color w:val="auto"/>
          <w:sz w:val="32"/>
          <w:szCs w:val="32"/>
        </w:rPr>
      </w:pPr>
      <w:bookmarkStart w:id="20" w:name="_Toc68703846"/>
      <w:r>
        <w:rPr>
          <w:rFonts w:hint="eastAsia" w:ascii="宋体" w:hAnsi="宋体" w:eastAsia="宋体"/>
          <w:color w:val="auto"/>
          <w:sz w:val="32"/>
          <w:szCs w:val="32"/>
        </w:rPr>
        <w:t>七、其他需要说明的问题</w:t>
      </w:r>
      <w:bookmarkEnd w:id="20"/>
    </w:p>
    <w:p>
      <w:pPr>
        <w:ind w:firstLine="150" w:firstLineChars="50"/>
        <w:rPr>
          <w:color w:val="auto"/>
        </w:rPr>
      </w:pPr>
      <w:r>
        <w:rPr>
          <w:rFonts w:hint="eastAsia"/>
          <w:color w:val="auto"/>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等线 Light">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9C5"/>
    <w:rsid w:val="00072189"/>
    <w:rsid w:val="00077FD7"/>
    <w:rsid w:val="000A17F6"/>
    <w:rsid w:val="00267F32"/>
    <w:rsid w:val="00277A82"/>
    <w:rsid w:val="0035537F"/>
    <w:rsid w:val="003F7D48"/>
    <w:rsid w:val="004B2D81"/>
    <w:rsid w:val="004B5AF1"/>
    <w:rsid w:val="00557E9A"/>
    <w:rsid w:val="005674B0"/>
    <w:rsid w:val="00567AEB"/>
    <w:rsid w:val="005B64E8"/>
    <w:rsid w:val="00614288"/>
    <w:rsid w:val="006646DC"/>
    <w:rsid w:val="00702A5D"/>
    <w:rsid w:val="00792CFE"/>
    <w:rsid w:val="007D49C5"/>
    <w:rsid w:val="008C631D"/>
    <w:rsid w:val="009D6D32"/>
    <w:rsid w:val="009F2AEF"/>
    <w:rsid w:val="009F7B65"/>
    <w:rsid w:val="00AA0740"/>
    <w:rsid w:val="00B0724E"/>
    <w:rsid w:val="00B24331"/>
    <w:rsid w:val="00B76FB2"/>
    <w:rsid w:val="00BD4F9B"/>
    <w:rsid w:val="00C037CD"/>
    <w:rsid w:val="00D0016C"/>
    <w:rsid w:val="00D57A7F"/>
    <w:rsid w:val="00D87CE8"/>
    <w:rsid w:val="00FF5DF0"/>
    <w:rsid w:val="3F210D2B"/>
    <w:rsid w:val="4B6E6184"/>
    <w:rsid w:val="5D162716"/>
    <w:rsid w:val="6859384E"/>
    <w:rsid w:val="6EEF1C74"/>
    <w:rsid w:val="6FFB0056"/>
    <w:rsid w:val="7BC133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uiPriority w:val="99"/>
    <w:rPr>
      <w:color w:val="0563C1" w:themeColor="hyperlink"/>
      <w:u w:val="single"/>
      <w14:textFill>
        <w14:solidFill>
          <w14:schemeClr w14:val="hlink"/>
        </w14:solidFill>
      </w14:textFill>
    </w:rPr>
  </w:style>
  <w:style w:type="character" w:customStyle="1" w:styleId="9">
    <w:name w:val="标题 1 Char"/>
    <w:basedOn w:val="7"/>
    <w:link w:val="2"/>
    <w:qFormat/>
    <w:uiPriority w:val="9"/>
    <w:rPr>
      <w:rFonts w:ascii="Times New Roman" w:hAnsi="Times New Roman" w:eastAsia="仿宋_GB2312" w:cs="Times New Roman"/>
      <w:b/>
      <w:bCs/>
      <w:kern w:val="44"/>
      <w:sz w:val="44"/>
      <w:szCs w:val="44"/>
    </w:rPr>
  </w:style>
  <w:style w:type="character" w:customStyle="1" w:styleId="10">
    <w:name w:val="标题 2 Char"/>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21</Pages>
  <Words>1107</Words>
  <Characters>6312</Characters>
  <Lines>52</Lines>
  <Paragraphs>14</Paragraphs>
  <TotalTime>3</TotalTime>
  <ScaleCrop>false</ScaleCrop>
  <LinksUpToDate>false</LinksUpToDate>
  <CharactersWithSpaces>7405</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2023-03-27T02:43:00Z</dcterms:created>
  <dc:creator>翘楚</dc:creator>
  <cp:lastModifiedBy>Administrator</cp:lastModifiedBy>
  <dcterms:modified xsi:type="dcterms:W3CDTF">2024-06-12T11:59:07Z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1FD8FE0B40494B1FBCB37FF3A4E97376</vt:lpwstr>
  </property>
</Properties>
</file>