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0" w:name="_GoBack"/>
      <w:bookmarkEnd w:id="20"/>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center"/>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hint="eastAsia" w:ascii="仿宋_GB2312"/>
        </w:rPr>
        <w:t>2022年4月-2023年3月国有企业办中小学退休教师各项补贴经费</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实施单位（公章）：</w:t>
      </w:r>
      <w:r>
        <w:rPr>
          <w:rFonts w:hint="eastAsia" w:ascii="仿宋_GB2312"/>
          <w:lang w:eastAsia="zh-CN"/>
        </w:rPr>
        <w:t>霍城县惠远镇则徐中心学校</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主管部门（公章）：</w:t>
      </w:r>
      <w:r>
        <w:rPr>
          <w:rFonts w:hint="eastAsia" w:ascii="仿宋_GB2312"/>
          <w:lang w:eastAsia="zh-CN"/>
        </w:rPr>
        <w:t>霍城县教育局</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项目负责人（签章）：</w:t>
      </w:r>
      <w:r>
        <w:rPr>
          <w:rFonts w:hint="eastAsia" w:ascii="仿宋_GB2312"/>
          <w:lang w:eastAsia="zh-CN"/>
        </w:rPr>
        <w:t>院新龙</w:t>
      </w:r>
    </w:p>
    <w:p>
      <w:pPr>
        <w:spacing w:line="560" w:lineRule="exact"/>
        <w:ind w:firstLine="321" w:firstLineChars="100"/>
        <w:rPr>
          <w:rFonts w:hint="eastAsia" w:ascii="宋体" w:hAnsi="宋体" w:eastAsia="宋体" w:cs="仿宋_GB2312"/>
          <w:color w:val="000000"/>
          <w:kern w:val="0"/>
          <w:sz w:val="32"/>
          <w:szCs w:val="32"/>
          <w:lang w:eastAsia="zh-CN"/>
        </w:rPr>
      </w:pPr>
      <w:r>
        <w:rPr>
          <w:rFonts w:hint="eastAsia" w:ascii="宋体" w:hAnsi="宋体" w:eastAsia="宋体" w:cs="仿宋_GB2312"/>
          <w:b/>
          <w:bCs/>
          <w:color w:val="000000"/>
          <w:kern w:val="0"/>
          <w:sz w:val="32"/>
          <w:szCs w:val="32"/>
        </w:rPr>
        <w:t>填报时间：</w:t>
      </w:r>
      <w:r>
        <w:rPr>
          <w:rFonts w:hint="eastAsia" w:ascii="仿宋_GB2312"/>
          <w:lang w:eastAsia="zh-CN"/>
        </w:rPr>
        <w:t>202</w:t>
      </w:r>
      <w:r>
        <w:rPr>
          <w:rFonts w:hint="eastAsia" w:ascii="仿宋_GB2312"/>
          <w:lang w:val="en-US" w:eastAsia="zh-CN"/>
        </w:rPr>
        <w:t>3</w:t>
      </w:r>
      <w:r>
        <w:rPr>
          <w:rFonts w:hint="eastAsia" w:ascii="仿宋_GB2312"/>
          <w:lang w:eastAsia="zh-CN"/>
        </w:rPr>
        <w:t>年</w:t>
      </w:r>
      <w:r>
        <w:rPr>
          <w:rFonts w:hint="eastAsia" w:ascii="仿宋_GB2312"/>
          <w:lang w:val="en-US" w:eastAsia="zh-CN"/>
        </w:rPr>
        <w:t>3</w:t>
      </w:r>
      <w:r>
        <w:rPr>
          <w:rFonts w:hint="eastAsia" w:ascii="仿宋_GB2312"/>
          <w:lang w:eastAsia="zh-CN"/>
        </w:rPr>
        <w:t xml:space="preserve"> 月 </w:t>
      </w:r>
      <w:r>
        <w:rPr>
          <w:rFonts w:hint="eastAsia" w:ascii="仿宋_GB2312"/>
          <w:lang w:val="en-US" w:eastAsia="zh-CN"/>
        </w:rPr>
        <w:t>21</w:t>
      </w:r>
      <w:r>
        <w:rPr>
          <w:rFonts w:hint="eastAsia" w:ascii="仿宋_GB2312"/>
          <w:lang w:eastAsia="zh-CN"/>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3"/>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4"/>
        <w:spacing w:line="360" w:lineRule="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spacing w:line="360" w:lineRule="auto"/>
        <w:ind w:firstLine="600" w:firstLineChars="200"/>
        <w:rPr>
          <w:rFonts w:hint="eastAsia" w:ascii="仿宋_GB2312"/>
        </w:rPr>
      </w:pPr>
      <w:r>
        <w:rPr>
          <w:rFonts w:hint="eastAsia" w:ascii="仿宋_GB2312"/>
        </w:rPr>
        <w:t>1</w:t>
      </w:r>
      <w:r>
        <w:rPr>
          <w:rFonts w:hint="eastAsia" w:ascii="仿宋_GB2312"/>
          <w:lang w:val="en-US" w:eastAsia="zh-CN"/>
        </w:rPr>
        <w:t>.</w:t>
      </w:r>
      <w:r>
        <w:rPr>
          <w:rFonts w:hint="eastAsia" w:ascii="仿宋_GB2312"/>
        </w:rPr>
        <w:t>项目背景</w:t>
      </w:r>
    </w:p>
    <w:p>
      <w:pPr>
        <w:spacing w:line="360" w:lineRule="auto"/>
        <w:ind w:firstLine="600" w:firstLineChars="200"/>
        <w:rPr>
          <w:rFonts w:hint="eastAsia" w:ascii="仿宋_GB2312"/>
        </w:rPr>
      </w:pPr>
      <w:r>
        <w:rPr>
          <w:rFonts w:hint="eastAsia" w:ascii="仿宋_GB2312"/>
        </w:rPr>
        <w:t>规范国有企业办中小学退休教师养老待遇发放，按照新政办发[2007]234号文件规定，符合移交的国有企业办中小学退休教师，从2008年1月1日起，全部移交地方政府管理，退休金差额部分由上级财政承担。</w:t>
      </w:r>
    </w:p>
    <w:p>
      <w:pPr>
        <w:spacing w:line="360" w:lineRule="auto"/>
        <w:ind w:firstLine="600" w:firstLineChars="200"/>
        <w:rPr>
          <w:rFonts w:ascii="仿宋_GB2312"/>
        </w:rPr>
      </w:pPr>
      <w:r>
        <w:rPr>
          <w:rFonts w:hint="eastAsia" w:ascii="仿宋_GB2312"/>
        </w:rPr>
        <w:t>2</w:t>
      </w:r>
      <w:r>
        <w:rPr>
          <w:rFonts w:hint="eastAsia" w:ascii="仿宋_GB2312"/>
          <w:lang w:val="en-US" w:eastAsia="zh-CN"/>
        </w:rPr>
        <w:t>.</w:t>
      </w:r>
      <w:r>
        <w:rPr>
          <w:rFonts w:hint="eastAsia" w:ascii="仿宋_GB2312"/>
        </w:rPr>
        <w:t>主要内容</w:t>
      </w:r>
      <w:r>
        <w:rPr>
          <w:rFonts w:hint="eastAsia"/>
        </w:rPr>
        <w:t>及</w:t>
      </w:r>
      <w:r>
        <w:rPr>
          <w:rFonts w:hint="eastAsia" w:ascii="仿宋_GB2312"/>
        </w:rPr>
        <w:t>实施情况</w:t>
      </w:r>
    </w:p>
    <w:p>
      <w:pPr>
        <w:spacing w:line="360" w:lineRule="auto"/>
        <w:ind w:firstLine="600" w:firstLineChars="200"/>
        <w:rPr>
          <w:rFonts w:hint="eastAsia" w:ascii="仿宋_GB2312"/>
          <w:highlight w:val="none"/>
        </w:rPr>
      </w:pPr>
      <w:r>
        <w:rPr>
          <w:rFonts w:hint="eastAsia" w:ascii="仿宋_GB2312"/>
        </w:rPr>
        <w:t>主要内容</w:t>
      </w:r>
      <w:r>
        <w:rPr>
          <w:rFonts w:hint="eastAsia" w:ascii="仿宋_GB2312"/>
          <w:highlight w:val="none"/>
        </w:rPr>
        <w:t>：规范国有企业办中小学退休教师养老待遇发放，按照新政办发[2007]234号文件规定，符合移交的国有企业办中小学退休教师，从2008年1月1日起，全部移交地方政府管理，退休金差额部分由上级财政承担。2022年4月-2023年3月国有企业办中小学3名退休教师各项补贴经费16.87万元发放。</w:t>
      </w:r>
    </w:p>
    <w:p>
      <w:pPr>
        <w:spacing w:line="360" w:lineRule="auto"/>
        <w:ind w:firstLine="600" w:firstLineChars="200"/>
        <w:rPr>
          <w:rFonts w:hint="eastAsia" w:ascii="仿宋_GB2312" w:eastAsia="仿宋_GB2312"/>
          <w:color w:val="FF0000"/>
          <w:highlight w:val="yellow"/>
          <w:lang w:eastAsia="zh-CN"/>
        </w:rPr>
      </w:pPr>
      <w:r>
        <w:rPr>
          <w:rFonts w:hint="eastAsia" w:ascii="仿宋_GB2312"/>
          <w:highlight w:val="none"/>
        </w:rPr>
        <w:t>实施情况：</w:t>
      </w:r>
      <w:r>
        <w:rPr>
          <w:rFonts w:hint="eastAsia" w:ascii="仿宋_GB2312"/>
          <w:highlight w:val="none"/>
          <w:lang w:val="en-US" w:eastAsia="zh-CN"/>
        </w:rPr>
        <w:t>2022年根据</w:t>
      </w:r>
      <w:r>
        <w:rPr>
          <w:rFonts w:hint="eastAsia" w:ascii="仿宋_GB2312"/>
          <w:highlight w:val="none"/>
        </w:rPr>
        <w:t>新政办发[2007]234号文件规定</w:t>
      </w:r>
      <w:r>
        <w:rPr>
          <w:rFonts w:hint="eastAsia" w:ascii="仿宋_GB2312"/>
          <w:highlight w:val="none"/>
          <w:lang w:eastAsia="zh-CN"/>
        </w:rPr>
        <w:t>，制定预算资金</w:t>
      </w:r>
      <w:r>
        <w:rPr>
          <w:rFonts w:hint="eastAsia" w:ascii="仿宋_GB2312"/>
          <w:highlight w:val="none"/>
          <w:lang w:val="en-US" w:eastAsia="zh-CN"/>
        </w:rPr>
        <w:t>16.87万元，按上级拨付次数，分两次发放</w:t>
      </w:r>
      <w:r>
        <w:rPr>
          <w:rFonts w:hint="eastAsia" w:ascii="仿宋_GB2312"/>
          <w:highlight w:val="none"/>
        </w:rPr>
        <w:t>2022年4月-2023年3月国有企业办中小学3名退休教师各项补贴经费16.87万元</w:t>
      </w:r>
      <w:r>
        <w:rPr>
          <w:rFonts w:hint="eastAsia" w:ascii="仿宋_GB2312"/>
          <w:highlight w:val="none"/>
          <w:lang w:eastAsia="zh-CN"/>
        </w:rPr>
        <w:t>。</w:t>
      </w:r>
    </w:p>
    <w:p>
      <w:pPr>
        <w:spacing w:line="360" w:lineRule="auto"/>
        <w:ind w:firstLine="600" w:firstLineChars="200"/>
        <w:rPr>
          <w:rFonts w:ascii="仿宋_GB2312"/>
        </w:rPr>
      </w:pPr>
      <w:r>
        <w:rPr>
          <w:rFonts w:ascii="仿宋_GB2312"/>
        </w:rPr>
        <w:t>3</w:t>
      </w:r>
      <w:r>
        <w:rPr>
          <w:rFonts w:hint="eastAsia" w:ascii="仿宋_GB2312"/>
          <w:lang w:val="en-US" w:eastAsia="zh-CN"/>
        </w:rPr>
        <w:t>.</w:t>
      </w:r>
      <w:r>
        <w:rPr>
          <w:rFonts w:hint="eastAsia" w:ascii="仿宋_GB2312"/>
        </w:rPr>
        <w:t>资金投入和使用情况</w:t>
      </w:r>
    </w:p>
    <w:p>
      <w:pPr>
        <w:spacing w:line="360" w:lineRule="auto"/>
        <w:ind w:firstLine="600" w:firstLineChars="200"/>
        <w:rPr>
          <w:color w:val="FF0000"/>
        </w:rPr>
      </w:pPr>
      <w:r>
        <w:rPr>
          <w:rFonts w:hint="eastAsia"/>
        </w:rPr>
        <w:t>资金投入情况：</w:t>
      </w:r>
      <w:r>
        <w:rPr>
          <w:rFonts w:hint="eastAsia"/>
          <w:color w:val="auto"/>
        </w:rPr>
        <w:t>该项目年初预算数</w:t>
      </w:r>
      <w:r>
        <w:rPr>
          <w:rFonts w:hint="eastAsia"/>
          <w:color w:val="auto"/>
          <w:lang w:val="en-US" w:eastAsia="zh-CN"/>
        </w:rPr>
        <w:t>0</w:t>
      </w:r>
      <w:r>
        <w:rPr>
          <w:rFonts w:hint="eastAsia"/>
          <w:color w:val="auto"/>
        </w:rPr>
        <w:t>万元，全年预算数</w:t>
      </w:r>
      <w:r>
        <w:rPr>
          <w:rFonts w:hint="eastAsia"/>
          <w:color w:val="auto"/>
          <w:lang w:val="en-US" w:eastAsia="zh-CN"/>
        </w:rPr>
        <w:t>16.87</w:t>
      </w:r>
      <w:r>
        <w:rPr>
          <w:rFonts w:hint="eastAsia"/>
          <w:color w:val="auto"/>
        </w:rPr>
        <w:t>万元实际总投入</w:t>
      </w:r>
      <w:r>
        <w:rPr>
          <w:rFonts w:hint="eastAsia"/>
          <w:color w:val="auto"/>
          <w:lang w:val="en-US" w:eastAsia="zh-CN"/>
        </w:rPr>
        <w:t>16.87</w:t>
      </w:r>
      <w:r>
        <w:rPr>
          <w:rFonts w:hint="eastAsia"/>
          <w:color w:val="auto"/>
        </w:rPr>
        <w:t>万元，该项目资金已全部落实到位，资金来源为</w:t>
      </w:r>
      <w:r>
        <w:rPr>
          <w:rFonts w:hint="eastAsia" w:ascii="仿宋_GB2312"/>
          <w:color w:val="auto"/>
        </w:rPr>
        <w:t>上级财政</w:t>
      </w:r>
      <w:r>
        <w:rPr>
          <w:rFonts w:hint="eastAsia" w:ascii="仿宋_GB2312"/>
          <w:color w:val="auto"/>
          <w:lang w:eastAsia="zh-CN"/>
        </w:rPr>
        <w:t>拨款</w:t>
      </w:r>
      <w:r>
        <w:rPr>
          <w:rFonts w:hint="eastAsia"/>
          <w:color w:val="auto"/>
        </w:rPr>
        <w:t>。</w:t>
      </w:r>
    </w:p>
    <w:p>
      <w:pPr>
        <w:spacing w:line="360" w:lineRule="auto"/>
        <w:ind w:firstLine="600" w:firstLineChars="200"/>
        <w:rPr>
          <w:color w:val="FF0000"/>
        </w:rPr>
      </w:pPr>
      <w:r>
        <w:rPr>
          <w:rFonts w:hint="eastAsia"/>
        </w:rPr>
        <w:t>资金使用情况：</w:t>
      </w:r>
      <w:r>
        <w:rPr>
          <w:rFonts w:hint="eastAsia"/>
          <w:color w:val="auto"/>
        </w:rPr>
        <w:t>该项目年初预算数</w:t>
      </w:r>
      <w:r>
        <w:rPr>
          <w:rFonts w:hint="eastAsia"/>
          <w:color w:val="auto"/>
          <w:lang w:val="en-US" w:eastAsia="zh-CN"/>
        </w:rPr>
        <w:t>0</w:t>
      </w:r>
      <w:r>
        <w:rPr>
          <w:rFonts w:hint="eastAsia"/>
          <w:color w:val="auto"/>
        </w:rPr>
        <w:t>万元，全年预算数</w:t>
      </w:r>
      <w:r>
        <w:rPr>
          <w:rFonts w:hint="eastAsia"/>
          <w:color w:val="auto"/>
          <w:lang w:val="en-US" w:eastAsia="zh-CN"/>
        </w:rPr>
        <w:t>16.87</w:t>
      </w:r>
      <w:r>
        <w:rPr>
          <w:rFonts w:hint="eastAsia"/>
          <w:color w:val="auto"/>
        </w:rPr>
        <w:t>万元</w:t>
      </w:r>
      <w:r>
        <w:rPr>
          <w:rFonts w:hint="eastAsia"/>
          <w:color w:val="auto"/>
          <w:lang w:eastAsia="zh-CN"/>
        </w:rPr>
        <w:t>，</w:t>
      </w:r>
      <w:r>
        <w:rPr>
          <w:rFonts w:hint="eastAsia"/>
          <w:color w:val="auto"/>
        </w:rPr>
        <w:t>全年执行</w:t>
      </w:r>
      <w:r>
        <w:rPr>
          <w:rFonts w:hint="eastAsia"/>
          <w:color w:val="auto"/>
          <w:lang w:val="en-US" w:eastAsia="zh-CN"/>
        </w:rPr>
        <w:t>,16.87</w:t>
      </w:r>
      <w:r>
        <w:rPr>
          <w:rFonts w:hint="eastAsia"/>
          <w:color w:val="auto"/>
        </w:rPr>
        <w:t>万元，预算执行率为</w:t>
      </w:r>
      <w:r>
        <w:rPr>
          <w:rFonts w:hint="eastAsia"/>
          <w:color w:val="auto"/>
          <w:lang w:val="en-US" w:eastAsia="zh-CN"/>
        </w:rPr>
        <w:t>100</w:t>
      </w:r>
      <w:r>
        <w:rPr>
          <w:rFonts w:hint="eastAsia"/>
          <w:color w:val="auto"/>
        </w:rPr>
        <w:t>%，用于：国有企业办中小学3名退休教师</w:t>
      </w:r>
      <w:r>
        <w:rPr>
          <w:rFonts w:hint="eastAsia"/>
          <w:color w:val="auto"/>
          <w:lang w:eastAsia="zh-CN"/>
        </w:rPr>
        <w:t>人均待遇差额</w:t>
      </w:r>
      <w:r>
        <w:rPr>
          <w:rFonts w:hint="eastAsia"/>
          <w:color w:val="auto"/>
          <w:lang w:val="en-US" w:eastAsia="zh-CN"/>
        </w:rPr>
        <w:t>5623.33元</w:t>
      </w:r>
      <w:r>
        <w:rPr>
          <w:rFonts w:hint="eastAsia"/>
          <w:color w:val="auto"/>
        </w:rPr>
        <w:t>。</w:t>
      </w:r>
    </w:p>
    <w:p>
      <w:pPr>
        <w:pStyle w:val="4"/>
        <w:spacing w:line="360" w:lineRule="auto"/>
        <w:ind w:firstLine="640" w:firstLineChars="200"/>
        <w:rPr>
          <w:rFonts w:hint="eastAsia" w:ascii="仿宋_GB2312" w:eastAsia="仿宋_GB2312"/>
          <w:b w:val="0"/>
          <w:bCs w:val="0"/>
        </w:rPr>
      </w:pPr>
      <w:bookmarkStart w:id="2" w:name="_Toc68703829"/>
      <w:r>
        <w:rPr>
          <w:rFonts w:hint="eastAsia" w:ascii="仿宋_GB2312" w:eastAsia="仿宋_GB2312"/>
          <w:b w:val="0"/>
          <w:bCs w:val="0"/>
        </w:rPr>
        <w:t>（二）项目绩效目标。</w:t>
      </w:r>
      <w:bookmarkEnd w:id="2"/>
    </w:p>
    <w:p>
      <w:pPr>
        <w:spacing w:line="360" w:lineRule="auto"/>
        <w:ind w:firstLine="600" w:firstLineChars="200"/>
        <w:rPr>
          <w:rFonts w:hint="eastAsia"/>
          <w:color w:val="FF0000"/>
        </w:rPr>
      </w:pPr>
      <w:r>
        <w:rPr>
          <w:rFonts w:hint="eastAsia"/>
        </w:rPr>
        <w:t>1</w:t>
      </w:r>
      <w:r>
        <w:rPr>
          <w:rFonts w:hint="eastAsia"/>
          <w:lang w:val="en-US" w:eastAsia="zh-CN"/>
        </w:rPr>
        <w:t>.</w:t>
      </w:r>
      <w:r>
        <w:rPr>
          <w:rFonts w:hint="eastAsia"/>
        </w:rPr>
        <w:t>总体目标：</w:t>
      </w:r>
      <w:r>
        <w:rPr>
          <w:rFonts w:hint="eastAsia"/>
          <w:color w:val="auto"/>
        </w:rPr>
        <w:t>规范国有企业办中小学退休教师养老待遇发放，按照新政办发[2007]234号文件规定，符合移交的国有企业办中小学退休教师，从2008年1月1日起，全部移交地方政府管理，退休金差额部分由上级财政承担。2022年4月-2023年3月国有企业办中小学3名退休教师各项补贴经费16.87万元发放。</w:t>
      </w:r>
    </w:p>
    <w:p>
      <w:pPr>
        <w:spacing w:line="360" w:lineRule="auto"/>
        <w:ind w:firstLine="600" w:firstLineChars="200"/>
        <w:rPr>
          <w:rFonts w:hint="eastAsia"/>
          <w:highlight w:val="none"/>
        </w:rPr>
      </w:pPr>
      <w:r>
        <w:rPr>
          <w:highlight w:val="none"/>
        </w:rPr>
        <w:t>2</w:t>
      </w:r>
      <w:r>
        <w:rPr>
          <w:rFonts w:hint="eastAsia"/>
          <w:highlight w:val="none"/>
          <w:lang w:val="en-US" w:eastAsia="zh-CN"/>
        </w:rPr>
        <w:t>.</w:t>
      </w:r>
      <w:r>
        <w:rPr>
          <w:rFonts w:hint="eastAsia"/>
          <w:highlight w:val="none"/>
        </w:rPr>
        <w:t>阶段性目标：</w:t>
      </w:r>
    </w:p>
    <w:p>
      <w:pPr>
        <w:pStyle w:val="2"/>
        <w:rPr>
          <w:rFonts w:hint="default" w:ascii="仿宋_GB2312" w:hAnsi="Times New Roman" w:eastAsia="仿宋_GB2312" w:cs="Times New Roman"/>
          <w:b w:val="0"/>
          <w:bCs/>
          <w:color w:val="auto"/>
          <w:kern w:val="2"/>
          <w:sz w:val="32"/>
          <w:szCs w:val="32"/>
          <w:lang w:val="en-US" w:eastAsia="zh-CN" w:bidi="ar-SA"/>
        </w:rPr>
      </w:pPr>
      <w:r>
        <w:rPr>
          <w:rFonts w:hint="eastAsia"/>
          <w:lang w:val="en-US" w:eastAsia="zh-CN"/>
        </w:rPr>
        <w:t xml:space="preserve">    </w:t>
      </w:r>
      <w:r>
        <w:rPr>
          <w:rFonts w:hint="eastAsia" w:ascii="仿宋_GB2312" w:hAnsi="Times New Roman" w:eastAsia="仿宋_GB2312" w:cs="Times New Roman"/>
          <w:b w:val="0"/>
          <w:bCs/>
          <w:color w:val="auto"/>
          <w:kern w:val="2"/>
          <w:sz w:val="32"/>
          <w:szCs w:val="32"/>
          <w:lang w:val="en-US" w:eastAsia="zh-CN" w:bidi="ar-SA"/>
        </w:rPr>
        <w:t>以实际</w:t>
      </w:r>
      <w:r>
        <w:rPr>
          <w:rFonts w:hint="eastAsia" w:ascii="仿宋_GB2312" w:cs="Times New Roman"/>
          <w:b w:val="0"/>
          <w:bCs/>
          <w:color w:val="auto"/>
          <w:kern w:val="2"/>
          <w:sz w:val="32"/>
          <w:szCs w:val="32"/>
          <w:lang w:val="en-US" w:eastAsia="zh-CN" w:bidi="ar-SA"/>
        </w:rPr>
        <w:t>国企退休</w:t>
      </w:r>
      <w:r>
        <w:rPr>
          <w:rFonts w:hint="eastAsia" w:ascii="仿宋_GB2312" w:hAnsi="Times New Roman" w:eastAsia="仿宋_GB2312" w:cs="Times New Roman"/>
          <w:b w:val="0"/>
          <w:bCs/>
          <w:color w:val="auto"/>
          <w:kern w:val="2"/>
          <w:sz w:val="32"/>
          <w:szCs w:val="32"/>
          <w:lang w:val="en-US" w:eastAsia="zh-CN" w:bidi="ar-SA"/>
        </w:rPr>
        <w:t>人数为依据，按</w:t>
      </w:r>
      <w:r>
        <w:rPr>
          <w:rFonts w:hint="eastAsia" w:ascii="仿宋_GB2312" w:cs="Times New Roman"/>
          <w:b w:val="0"/>
          <w:bCs/>
          <w:color w:val="auto"/>
          <w:kern w:val="2"/>
          <w:sz w:val="32"/>
          <w:szCs w:val="32"/>
          <w:lang w:val="en-US" w:eastAsia="zh-CN" w:bidi="ar-SA"/>
        </w:rPr>
        <w:t>上级拨付资金到位情况</w:t>
      </w:r>
      <w:r>
        <w:rPr>
          <w:rFonts w:hint="eastAsia" w:ascii="仿宋_GB2312" w:hAnsi="Times New Roman" w:eastAsia="仿宋_GB2312" w:cs="Times New Roman"/>
          <w:b w:val="0"/>
          <w:bCs/>
          <w:color w:val="auto"/>
          <w:kern w:val="2"/>
          <w:sz w:val="32"/>
          <w:szCs w:val="32"/>
          <w:lang w:val="en-US" w:eastAsia="zh-CN" w:bidi="ar-SA"/>
        </w:rPr>
        <w:t>，按时、足额</w:t>
      </w:r>
      <w:r>
        <w:rPr>
          <w:rFonts w:hint="eastAsia" w:ascii="仿宋_GB2312" w:cs="Times New Roman"/>
          <w:b w:val="0"/>
          <w:bCs/>
          <w:color w:val="auto"/>
          <w:kern w:val="2"/>
          <w:sz w:val="32"/>
          <w:szCs w:val="32"/>
          <w:lang w:val="en-US" w:eastAsia="zh-CN" w:bidi="ar-SA"/>
        </w:rPr>
        <w:t>发放</w:t>
      </w:r>
      <w:r>
        <w:rPr>
          <w:rFonts w:hint="eastAsia" w:ascii="仿宋_GB2312" w:hAnsi="Times New Roman" w:eastAsia="仿宋_GB2312" w:cs="Times New Roman"/>
          <w:b w:val="0"/>
          <w:bCs/>
          <w:color w:val="auto"/>
          <w:kern w:val="2"/>
          <w:sz w:val="32"/>
          <w:szCs w:val="32"/>
          <w:lang w:val="en-US" w:eastAsia="zh-CN" w:bidi="ar-SA"/>
        </w:rPr>
        <w:t>2022年4月-2023年3月国有企业办中小学3名退休教师各项补贴经费，确保</w:t>
      </w:r>
      <w:r>
        <w:rPr>
          <w:rFonts w:hint="eastAsia" w:ascii="仿宋_GB2312" w:cs="Times New Roman"/>
          <w:b w:val="0"/>
          <w:bCs/>
          <w:color w:val="auto"/>
          <w:kern w:val="2"/>
          <w:sz w:val="32"/>
          <w:szCs w:val="32"/>
          <w:lang w:val="en-US" w:eastAsia="zh-CN" w:bidi="ar-SA"/>
        </w:rPr>
        <w:t>退休教师根本利益</w:t>
      </w:r>
      <w:r>
        <w:rPr>
          <w:rFonts w:hint="eastAsia" w:ascii="仿宋_GB2312" w:hAnsi="Times New Roman" w:eastAsia="仿宋_GB2312" w:cs="Times New Roman"/>
          <w:b w:val="0"/>
          <w:bCs/>
          <w:color w:val="auto"/>
          <w:kern w:val="2"/>
          <w:sz w:val="32"/>
          <w:szCs w:val="32"/>
          <w:lang w:val="en-US" w:eastAsia="zh-CN" w:bidi="ar-SA"/>
        </w:rPr>
        <w:t>；保证</w:t>
      </w:r>
      <w:r>
        <w:rPr>
          <w:rFonts w:hint="eastAsia" w:ascii="仿宋_GB2312" w:cs="Times New Roman"/>
          <w:b w:val="0"/>
          <w:bCs/>
          <w:color w:val="auto"/>
          <w:kern w:val="2"/>
          <w:sz w:val="32"/>
          <w:szCs w:val="32"/>
          <w:lang w:val="en-US" w:eastAsia="zh-CN" w:bidi="ar-SA"/>
        </w:rPr>
        <w:t>国企退休教师待遇</w:t>
      </w:r>
      <w:r>
        <w:rPr>
          <w:rFonts w:hint="eastAsia" w:ascii="仿宋_GB2312" w:hAnsi="Times New Roman" w:eastAsia="仿宋_GB2312" w:cs="Times New Roman"/>
          <w:b w:val="0"/>
          <w:bCs/>
          <w:color w:val="auto"/>
          <w:kern w:val="2"/>
          <w:sz w:val="32"/>
          <w:szCs w:val="32"/>
          <w:lang w:val="en-US" w:eastAsia="zh-CN" w:bidi="ar-SA"/>
        </w:rPr>
        <w:t>按时足额发放；保证</w:t>
      </w:r>
      <w:r>
        <w:rPr>
          <w:rFonts w:hint="eastAsia" w:ascii="仿宋_GB2312" w:cs="Times New Roman"/>
          <w:b w:val="0"/>
          <w:bCs/>
          <w:color w:val="auto"/>
          <w:kern w:val="2"/>
          <w:sz w:val="32"/>
          <w:szCs w:val="32"/>
          <w:lang w:val="en-US" w:eastAsia="zh-CN" w:bidi="ar-SA"/>
        </w:rPr>
        <w:t>发放及时</w:t>
      </w:r>
      <w:r>
        <w:rPr>
          <w:rFonts w:hint="eastAsia" w:ascii="仿宋_GB2312" w:hAnsi="Times New Roman" w:eastAsia="仿宋_GB2312" w:cs="Times New Roman"/>
          <w:b w:val="0"/>
          <w:bCs/>
          <w:color w:val="auto"/>
          <w:kern w:val="2"/>
          <w:sz w:val="32"/>
          <w:szCs w:val="32"/>
          <w:lang w:val="en-US" w:eastAsia="zh-CN" w:bidi="ar-SA"/>
        </w:rPr>
        <w:t>标率100%，进一步保障</w:t>
      </w:r>
      <w:r>
        <w:rPr>
          <w:rFonts w:hint="eastAsia" w:ascii="仿宋_GB2312" w:cs="Times New Roman"/>
          <w:b w:val="0"/>
          <w:bCs/>
          <w:color w:val="auto"/>
          <w:kern w:val="2"/>
          <w:sz w:val="32"/>
          <w:szCs w:val="32"/>
          <w:lang w:val="en-US" w:eastAsia="zh-CN" w:bidi="ar-SA"/>
        </w:rPr>
        <w:t>退休教师生活</w:t>
      </w:r>
      <w:r>
        <w:rPr>
          <w:rFonts w:hint="eastAsia" w:ascii="仿宋_GB2312" w:hAnsi="Times New Roman" w:eastAsia="仿宋_GB2312" w:cs="Times New Roman"/>
          <w:b w:val="0"/>
          <w:bCs/>
          <w:color w:val="auto"/>
          <w:kern w:val="2"/>
          <w:sz w:val="32"/>
          <w:szCs w:val="32"/>
          <w:lang w:val="en-US" w:eastAsia="zh-CN" w:bidi="ar-SA"/>
        </w:rPr>
        <w:t>。</w:t>
      </w:r>
    </w:p>
    <w:p>
      <w:pPr>
        <w:pStyle w:val="3"/>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4"/>
        <w:spacing w:line="360" w:lineRule="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w:t>
      </w:r>
      <w:r>
        <w:rPr>
          <w:rFonts w:hint="eastAsia"/>
          <w:lang w:val="en-US" w:eastAsia="zh-CN"/>
        </w:rPr>
        <w:t>.</w:t>
      </w:r>
      <w:r>
        <w:rPr>
          <w:rFonts w:hint="eastAsia"/>
        </w:rPr>
        <w:t>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2022年4月-2023年3月国有企业办中小学退休教师各项补贴经费的具体情况，评价该项目资金安排的科学性、合理性、规范性和资金的使用成效，及时总结项目管理经验，完善项目管理办法，提高项目管理水平和资金使用效益。促使我</w:t>
      </w:r>
      <w:r>
        <w:rPr>
          <w:rFonts w:hint="eastAsia" w:ascii="仿宋_GB2312"/>
          <w:bCs/>
          <w:color w:val="auto"/>
          <w:sz w:val="32"/>
          <w:szCs w:val="32"/>
          <w:lang w:val="en-US" w:eastAsia="zh-CN"/>
        </w:rPr>
        <w:t>单位</w:t>
      </w:r>
      <w:r>
        <w:rPr>
          <w:rFonts w:hint="eastAsia" w:ascii="仿宋_GB2312"/>
          <w:bCs/>
          <w:color w:val="auto"/>
          <w:sz w:val="32"/>
          <w:szCs w:val="32"/>
        </w:rPr>
        <w:t>根据绩效评价中发现的问题，认真加以整改，及时调整和完善单位的工作计划并加强项目</w:t>
      </w:r>
      <w:r>
        <w:rPr>
          <w:rFonts w:hint="eastAsia" w:ascii="仿宋_GB2312"/>
          <w:bCs/>
          <w:color w:val="auto"/>
          <w:sz w:val="32"/>
          <w:szCs w:val="32"/>
          <w:lang w:val="en-US" w:eastAsia="zh-CN"/>
        </w:rPr>
        <w:t>绩效</w:t>
      </w:r>
      <w:r>
        <w:rPr>
          <w:rFonts w:hint="eastAsia" w:ascii="仿宋_GB2312"/>
          <w:bCs/>
          <w:color w:val="auto"/>
          <w:sz w:val="32"/>
          <w:szCs w:val="32"/>
        </w:rPr>
        <w:t>管理，同时为项目后续资金投入、分配和管理提供决策依据。</w:t>
      </w:r>
    </w:p>
    <w:p>
      <w:pPr>
        <w:spacing w:line="360" w:lineRule="auto"/>
        <w:ind w:firstLine="600" w:firstLineChars="200"/>
        <w:jc w:val="left"/>
      </w:pPr>
      <w:r>
        <w:rPr>
          <w:rFonts w:hint="eastAsia"/>
        </w:rPr>
        <w:t>2</w:t>
      </w:r>
      <w:r>
        <w:rPr>
          <w:rFonts w:hint="eastAsia"/>
          <w:lang w:val="en-US" w:eastAsia="zh-CN"/>
        </w:rPr>
        <w:t>.</w:t>
      </w:r>
      <w:r>
        <w:rPr>
          <w:rFonts w:hint="eastAsia"/>
        </w:rPr>
        <w:t>绩效评价对象：</w:t>
      </w:r>
    </w:p>
    <w:p>
      <w:pPr>
        <w:spacing w:line="360" w:lineRule="auto"/>
        <w:ind w:firstLine="600" w:firstLineChars="200"/>
        <w:rPr>
          <w:rFonts w:hint="eastAsia"/>
          <w:color w:val="auto"/>
        </w:rPr>
      </w:pPr>
      <w:r>
        <w:rPr>
          <w:rFonts w:hint="eastAsia"/>
          <w:color w:val="auto"/>
        </w:rPr>
        <w:t>2022年4月-2023年3月国有企业办中小学退休教师各项补贴经费</w:t>
      </w:r>
    </w:p>
    <w:p>
      <w:pPr>
        <w:spacing w:line="360" w:lineRule="auto"/>
        <w:ind w:firstLine="600" w:firstLineChars="200"/>
      </w:pPr>
      <w:r>
        <w:rPr>
          <w:rFonts w:hint="eastAsia"/>
        </w:rPr>
        <w:t>3</w:t>
      </w:r>
      <w:r>
        <w:rPr>
          <w:rFonts w:hint="eastAsia"/>
          <w:lang w:val="en-US" w:eastAsia="zh-CN"/>
        </w:rPr>
        <w:t>.</w:t>
      </w:r>
      <w:r>
        <w:rPr>
          <w:rFonts w:hint="eastAsia"/>
        </w:rPr>
        <w:t>绩效评价范围：</w:t>
      </w:r>
    </w:p>
    <w:p>
      <w:pPr>
        <w:spacing w:line="360" w:lineRule="auto"/>
        <w:ind w:firstLine="600" w:firstLineChars="200"/>
      </w:pPr>
      <w:r>
        <w:rPr>
          <w:rFonts w:hint="eastAsia"/>
          <w:color w:val="auto"/>
        </w:rPr>
        <w:t>本次评价从项目决策（包括绩效目标、决策过程）、项目管理（包括项目资金、项目实施）、项目产出（包括项目产出数量、产出质量、产出时效和产出成本）项目效益四个维度进行2022年4月-2023年3月国有企业办中小学退休教师各项补贴经费评价，评价核心为资金的支出完成情况和效果。</w:t>
      </w:r>
    </w:p>
    <w:p>
      <w:pPr>
        <w:pStyle w:val="4"/>
        <w:spacing w:line="360" w:lineRule="auto"/>
        <w:rPr>
          <w:rFonts w:hint="eastAsia"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FF0000"/>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rPr>
      </w:pPr>
      <w:r>
        <w:rPr>
          <w:rFonts w:hint="eastAsia" w:ascii="仿宋_GB2312"/>
          <w:bCs/>
          <w:color w:val="auto"/>
          <w:sz w:val="32"/>
          <w:szCs w:val="32"/>
        </w:rPr>
        <w:t>（四）公开透明。本次项目支出绩效评价结果已依法依规公开在</w:t>
      </w:r>
      <w:r>
        <w:rPr>
          <w:rFonts w:hint="eastAsia" w:ascii="仿宋_GB2312" w:hAnsi="Times New Roman" w:cs="Times New Roman"/>
          <w:bCs/>
          <w:color w:val="auto"/>
          <w:sz w:val="32"/>
          <w:szCs w:val="32"/>
          <w:lang w:eastAsia="zh-CN"/>
        </w:rPr>
        <w:t>政府门户</w:t>
      </w:r>
      <w:r>
        <w:rPr>
          <w:rFonts w:hint="eastAsia" w:ascii="仿宋_GB2312"/>
          <w:bCs/>
          <w:color w:val="auto"/>
          <w:sz w:val="32"/>
          <w:szCs w:val="32"/>
        </w:rPr>
        <w:t>网站上，并自觉接受社会监督。</w:t>
      </w:r>
    </w:p>
    <w:p>
      <w:pPr>
        <w:spacing w:line="360" w:lineRule="auto"/>
      </w:pPr>
    </w:p>
    <w:p>
      <w:pPr>
        <w:spacing w:line="360" w:lineRule="auto"/>
        <w:ind w:firstLine="600" w:firstLineChars="200"/>
        <w:jc w:val="left"/>
        <w:rPr>
          <w:rFonts w:hint="eastAsia"/>
        </w:rPr>
      </w:pPr>
      <w:r>
        <w:rPr>
          <w:rFonts w:hint="eastAsia"/>
        </w:rPr>
        <w:t>2、评价指标体系（附表说明）</w:t>
      </w:r>
    </w:p>
    <w:p>
      <w:pPr>
        <w:pStyle w:val="4"/>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项目支出绩效评价指标体系</w:t>
      </w:r>
    </w:p>
    <w:tbl>
      <w:tblPr>
        <w:tblStyle w:val="9"/>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2</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2</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15</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20</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ectPr>
          <w:footerReference r:id="rId3" w:type="default"/>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rFonts w:hint="eastAsia"/>
        </w:rPr>
      </w:pPr>
      <w:r>
        <w:rPr>
          <w:rFonts w:hint="eastAsia"/>
        </w:rPr>
        <w:t>3、评价方法</w:t>
      </w:r>
    </w:p>
    <w:p>
      <w:pPr>
        <w:spacing w:line="360" w:lineRule="auto"/>
        <w:ind w:firstLine="640" w:firstLineChars="200"/>
        <w:jc w:val="left"/>
        <w:rPr>
          <w:rFonts w:hint="eastAsia" w:ascii="Times New Roman" w:hAnsi="Times New Roman" w:cs="Times New Roman"/>
          <w:bCs/>
          <w:color w:val="auto"/>
          <w:sz w:val="32"/>
          <w:szCs w:val="32"/>
          <w:highlight w:val="none"/>
          <w:lang w:val="en-US" w:eastAsia="zh-CN"/>
        </w:rPr>
      </w:pPr>
      <w:r>
        <w:rPr>
          <w:rFonts w:hint="eastAsia" w:ascii="Times New Roman" w:hAnsi="Times New Roman" w:cs="Times New Roman"/>
          <w:bCs/>
          <w:color w:val="auto"/>
          <w:sz w:val="32"/>
          <w:szCs w:val="32"/>
        </w:rPr>
        <w:t>本次项目支出</w:t>
      </w:r>
      <w:r>
        <w:rPr>
          <w:rFonts w:hint="eastAsia" w:ascii="Times New Roman" w:hAnsi="Times New Roman" w:cs="Times New Roman"/>
          <w:bCs/>
          <w:color w:val="auto"/>
          <w:sz w:val="32"/>
          <w:szCs w:val="32"/>
          <w:highlight w:val="none"/>
        </w:rPr>
        <w:t>绩效自评采用</w:t>
      </w:r>
      <w:r>
        <w:rPr>
          <w:rFonts w:hint="eastAsia" w:ascii="Times New Roman" w:hAnsi="Times New Roman" w:cs="Times New Roman"/>
          <w:bCs/>
          <w:color w:val="auto"/>
          <w:sz w:val="32"/>
          <w:szCs w:val="32"/>
          <w:highlight w:val="none"/>
          <w:lang w:val="en-US" w:eastAsia="zh-CN"/>
        </w:rPr>
        <w:t>比较法、因素分析方法</w:t>
      </w:r>
      <w:r>
        <w:rPr>
          <w:rFonts w:hint="eastAsia" w:ascii="Times New Roman" w:hAnsi="Times New Roman" w:cs="Times New Roman"/>
          <w:bCs/>
          <w:color w:val="auto"/>
          <w:sz w:val="32"/>
          <w:szCs w:val="32"/>
          <w:highlight w:val="none"/>
        </w:rPr>
        <w:t>，原因是：</w:t>
      </w:r>
      <w:r>
        <w:rPr>
          <w:rFonts w:hint="eastAsia" w:ascii="Times New Roman" w:hAnsi="Times New Roman" w:cs="Times New Roman"/>
          <w:bCs/>
          <w:color w:val="auto"/>
          <w:sz w:val="32"/>
          <w:szCs w:val="32"/>
          <w:highlight w:val="none"/>
          <w:lang w:val="en-US" w:eastAsia="zh-CN"/>
        </w:rPr>
        <w:t>年初，学校根据县社保局提供事业单位退休人员相关调资文件补助标准，按照国有企业办中小学３位退休教师分配因素及计算公式，将</w:t>
      </w:r>
      <w:r>
        <w:rPr>
          <w:rFonts w:hint="eastAsia"/>
          <w:color w:val="auto"/>
        </w:rPr>
        <w:t>2022年4月-2023年3月国有企业办中小学退休教师各项补贴经费</w:t>
      </w:r>
      <w:r>
        <w:rPr>
          <w:rFonts w:hint="eastAsia"/>
          <w:color w:val="auto"/>
          <w:lang w:eastAsia="zh-CN"/>
        </w:rPr>
        <w:t>，根据３人实际情况</w:t>
      </w:r>
      <w:r>
        <w:rPr>
          <w:rFonts w:hint="eastAsia" w:ascii="Times New Roman" w:hAnsi="Times New Roman" w:cs="Times New Roman"/>
          <w:bCs/>
          <w:color w:val="auto"/>
          <w:sz w:val="32"/>
          <w:szCs w:val="32"/>
          <w:highlight w:val="none"/>
          <w:lang w:val="en-US" w:eastAsia="zh-CN"/>
        </w:rPr>
        <w:t>实行预算。</w:t>
      </w:r>
    </w:p>
    <w:p>
      <w:pPr>
        <w:spacing w:line="360" w:lineRule="auto"/>
        <w:jc w:val="left"/>
        <w:rPr>
          <w:rFonts w:hint="eastAsia"/>
        </w:rPr>
      </w:pPr>
      <w:r>
        <w:rPr>
          <w:rFonts w:hint="eastAsia"/>
        </w:rPr>
        <w:t>4</w:t>
      </w:r>
      <w:r>
        <w:rPr>
          <w:rFonts w:hint="eastAsia"/>
          <w:lang w:val="en-US" w:eastAsia="zh-CN"/>
        </w:rPr>
        <w:t>.</w:t>
      </w:r>
      <w:r>
        <w:rPr>
          <w:rFonts w:hint="eastAsia"/>
        </w:rPr>
        <w:t>评价标准</w:t>
      </w:r>
    </w:p>
    <w:p>
      <w:pPr>
        <w:spacing w:line="360" w:lineRule="auto"/>
        <w:ind w:firstLine="640" w:firstLineChars="200"/>
        <w:rPr>
          <w:rFonts w:hint="eastAsia" w:eastAsia="仿宋_GB2312"/>
          <w:bCs/>
          <w:sz w:val="32"/>
          <w:szCs w:val="32"/>
          <w:lang w:eastAsia="zh-CN"/>
        </w:rPr>
      </w:pPr>
      <w:r>
        <w:rPr>
          <w:rFonts w:hint="eastAsia"/>
          <w:bCs/>
          <w:color w:val="auto"/>
          <w:sz w:val="32"/>
          <w:szCs w:val="32"/>
        </w:rPr>
        <w:t>本次项目支出绩效自评采用计划标准，原因是：</w:t>
      </w:r>
      <w:r>
        <w:rPr>
          <w:rFonts w:hint="eastAsia"/>
          <w:color w:val="auto"/>
          <w:sz w:val="32"/>
          <w:szCs w:val="32"/>
        </w:rPr>
        <w:t>2022年4月-2023年3月国有企业办中小学退休教师各项补贴经费</w:t>
      </w:r>
      <w:r>
        <w:rPr>
          <w:rFonts w:hint="eastAsia"/>
          <w:color w:val="auto"/>
          <w:sz w:val="32"/>
          <w:szCs w:val="32"/>
          <w:lang w:eastAsia="zh-CN"/>
        </w:rPr>
        <w:t>都是年</w:t>
      </w:r>
      <w:r>
        <w:rPr>
          <w:rFonts w:hint="eastAsia" w:ascii="Times New Roman" w:hAnsi="Times New Roman" w:cs="Times New Roman"/>
          <w:bCs/>
          <w:color w:val="auto"/>
          <w:sz w:val="32"/>
          <w:szCs w:val="32"/>
          <w:highlight w:val="none"/>
          <w:lang w:val="en-US" w:eastAsia="zh-CN"/>
        </w:rPr>
        <w:t>初就按定额标准</w:t>
      </w:r>
      <w:r>
        <w:rPr>
          <w:rFonts w:hint="eastAsia" w:cs="Times New Roman"/>
          <w:bCs/>
          <w:color w:val="auto"/>
          <w:sz w:val="32"/>
          <w:szCs w:val="32"/>
          <w:highlight w:val="none"/>
          <w:lang w:val="en-US" w:eastAsia="zh-CN"/>
        </w:rPr>
        <w:t>预算，保障资金合理有效使用</w:t>
      </w:r>
      <w:r>
        <w:rPr>
          <w:rFonts w:hint="eastAsia"/>
          <w:color w:val="auto"/>
          <w:sz w:val="32"/>
          <w:szCs w:val="32"/>
          <w:lang w:eastAsia="zh-CN"/>
        </w:rPr>
        <w:t>。</w:t>
      </w:r>
    </w:p>
    <w:p>
      <w:pPr>
        <w:pStyle w:val="4"/>
        <w:spacing w:line="360" w:lineRule="auto"/>
        <w:rPr>
          <w:rFonts w:hint="eastAsia" w:ascii="仿宋_GB2312" w:eastAsia="仿宋_GB2312"/>
          <w:b w:val="0"/>
          <w:bCs w:val="0"/>
        </w:rPr>
      </w:pPr>
      <w:bookmarkStart w:id="6" w:name="_Toc68703833"/>
      <w:r>
        <w:rPr>
          <w:rFonts w:hint="eastAsia" w:ascii="仿宋_GB2312" w:eastAsia="仿宋_GB2312"/>
          <w:b w:val="0"/>
          <w:bCs w:val="0"/>
        </w:rPr>
        <w:t>（三）绩效评价工作过程。</w:t>
      </w:r>
      <w:bookmarkEnd w:id="6"/>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前期准备：</w:t>
      </w:r>
    </w:p>
    <w:p>
      <w:pPr>
        <w:spacing w:line="360" w:lineRule="auto"/>
        <w:ind w:firstLine="600" w:firstLineChars="200"/>
        <w:rPr>
          <w:rFonts w:hint="eastAsia" w:eastAsia="仿宋_GB2312"/>
          <w:color w:val="auto"/>
          <w:lang w:eastAsia="zh-CN"/>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３</w:t>
      </w:r>
      <w:r>
        <w:rPr>
          <w:rFonts w:hint="eastAsia"/>
          <w:color w:val="auto"/>
        </w:rPr>
        <w:t>月</w:t>
      </w:r>
      <w:r>
        <w:rPr>
          <w:rFonts w:hint="eastAsia"/>
          <w:color w:val="auto"/>
          <w:lang w:val="en-US" w:eastAsia="zh-CN"/>
        </w:rPr>
        <w:t>１</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r>
        <w:rPr>
          <w:rFonts w:hint="eastAsia"/>
          <w:color w:val="auto"/>
          <w:lang w:val="en-US" w:eastAsia="zh-CN"/>
        </w:rPr>
        <w:t>.</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组织实施：</w:t>
      </w:r>
    </w:p>
    <w:p>
      <w:pPr>
        <w:spacing w:line="360" w:lineRule="auto"/>
        <w:ind w:firstLine="640" w:firstLineChars="200"/>
        <w:rPr>
          <w:color w:val="auto"/>
          <w:sz w:val="32"/>
          <w:szCs w:val="32"/>
        </w:rPr>
      </w:pPr>
      <w:r>
        <w:rPr>
          <w:rFonts w:hint="eastAsia" w:ascii="Times New Roman" w:hAnsi="Times New Roman" w:cs="Times New Roman"/>
          <w:bCs/>
          <w:color w:val="auto"/>
          <w:sz w:val="32"/>
          <w:szCs w:val="32"/>
        </w:rPr>
        <w:t>202</w:t>
      </w:r>
      <w:r>
        <w:rPr>
          <w:rFonts w:hint="eastAsia" w:ascii="Times New Roman" w:hAnsi="Times New Roman" w:cs="Times New Roman"/>
          <w:bCs/>
          <w:color w:val="auto"/>
          <w:sz w:val="32"/>
          <w:szCs w:val="32"/>
          <w:lang w:val="en-US" w:eastAsia="zh-CN"/>
        </w:rPr>
        <w:t>3</w:t>
      </w:r>
      <w:r>
        <w:rPr>
          <w:rFonts w:hint="eastAsia" w:ascii="Times New Roman" w:hAnsi="Times New Roman" w:cs="Times New Roman"/>
          <w:bCs/>
          <w:color w:val="auto"/>
          <w:sz w:val="32"/>
          <w:szCs w:val="32"/>
        </w:rPr>
        <w:t>年</w:t>
      </w:r>
      <w:r>
        <w:rPr>
          <w:rFonts w:hint="eastAsia" w:ascii="Times New Roman" w:hAnsi="Times New Roman" w:cs="Times New Roman"/>
          <w:bCs/>
          <w:color w:val="auto"/>
          <w:sz w:val="32"/>
          <w:szCs w:val="32"/>
          <w:lang w:val="en-US" w:eastAsia="zh-CN"/>
        </w:rPr>
        <w:t>3月10日</w:t>
      </w:r>
      <w:r>
        <w:rPr>
          <w:rFonts w:hint="eastAsia"/>
          <w:color w:val="auto"/>
          <w:sz w:val="32"/>
          <w:szCs w:val="32"/>
        </w:rPr>
        <w:t>，</w:t>
      </w:r>
      <w:r>
        <w:rPr>
          <w:rFonts w:hint="eastAsia" w:ascii="仿宋_GB2312"/>
          <w:color w:val="auto"/>
          <w:sz w:val="32"/>
          <w:szCs w:val="32"/>
        </w:rPr>
        <w:t>评价工作进入实施阶段，评价组</w:t>
      </w:r>
      <w:r>
        <w:rPr>
          <w:rFonts w:hint="eastAsia"/>
          <w:color w:val="auto"/>
          <w:sz w:val="32"/>
          <w:szCs w:val="32"/>
        </w:rPr>
        <w:t>收集绩效评价相关数据资料，进行现场调研、座谈；并</w:t>
      </w:r>
      <w:r>
        <w:rPr>
          <w:rFonts w:hint="eastAsia" w:ascii="仿宋_GB2312"/>
          <w:color w:val="auto"/>
          <w:sz w:val="32"/>
          <w:szCs w:val="32"/>
        </w:rPr>
        <w:t>与项目实施负责人沟通，了解资金的内容、操作流程、管理机制、资金使用方向等情况</w:t>
      </w:r>
      <w:r>
        <w:rPr>
          <w:rFonts w:hint="eastAsia"/>
          <w:color w:val="auto"/>
          <w:sz w:val="32"/>
          <w:szCs w:val="32"/>
        </w:rPr>
        <w:t>，</w:t>
      </w:r>
      <w:r>
        <w:rPr>
          <w:color w:val="auto"/>
          <w:sz w:val="32"/>
          <w:szCs w:val="32"/>
        </w:rPr>
        <w:t>分析</w:t>
      </w:r>
      <w:r>
        <w:rPr>
          <w:rFonts w:hint="eastAsia"/>
          <w:color w:val="auto"/>
          <w:sz w:val="32"/>
          <w:szCs w:val="32"/>
        </w:rPr>
        <w:t>形成初步结论。</w:t>
      </w:r>
    </w:p>
    <w:p>
      <w:pPr>
        <w:spacing w:line="360" w:lineRule="auto"/>
        <w:ind w:firstLine="640" w:firstLineChars="200"/>
        <w:jc w:val="left"/>
        <w:rPr>
          <w:rFonts w:hint="eastAsia"/>
          <w:color w:val="auto"/>
          <w:sz w:val="32"/>
          <w:szCs w:val="32"/>
        </w:rPr>
      </w:pPr>
      <w:r>
        <w:rPr>
          <w:rFonts w:hint="eastAsia"/>
          <w:color w:val="auto"/>
          <w:sz w:val="32"/>
          <w:szCs w:val="32"/>
        </w:rPr>
        <w:t>3</w:t>
      </w:r>
      <w:r>
        <w:rPr>
          <w:rFonts w:hint="eastAsia"/>
          <w:color w:val="auto"/>
          <w:sz w:val="32"/>
          <w:szCs w:val="32"/>
          <w:lang w:val="en-US" w:eastAsia="zh-CN"/>
        </w:rPr>
        <w:t>.</w:t>
      </w:r>
      <w:r>
        <w:rPr>
          <w:rFonts w:hint="eastAsia"/>
          <w:color w:val="auto"/>
          <w:sz w:val="32"/>
          <w:szCs w:val="32"/>
        </w:rPr>
        <w:t>分析评价：</w:t>
      </w:r>
    </w:p>
    <w:p>
      <w:pPr>
        <w:spacing w:line="360" w:lineRule="auto"/>
        <w:ind w:firstLine="640" w:firstLineChars="200"/>
        <w:rPr>
          <w:rFonts w:ascii="仿宋_GB2312"/>
          <w:color w:val="auto"/>
          <w:sz w:val="32"/>
          <w:szCs w:val="32"/>
        </w:rPr>
      </w:pPr>
      <w:r>
        <w:rPr>
          <w:rFonts w:hint="eastAsia" w:ascii="Times New Roman" w:hAnsi="Times New Roman" w:cs="Times New Roman"/>
          <w:bCs/>
          <w:color w:val="auto"/>
          <w:sz w:val="32"/>
          <w:szCs w:val="32"/>
        </w:rPr>
        <w:t>202</w:t>
      </w:r>
      <w:r>
        <w:rPr>
          <w:rFonts w:hint="eastAsia" w:ascii="Times New Roman" w:hAnsi="Times New Roman" w:cs="Times New Roman"/>
          <w:bCs/>
          <w:color w:val="auto"/>
          <w:sz w:val="32"/>
          <w:szCs w:val="32"/>
          <w:lang w:val="en-US" w:eastAsia="zh-CN"/>
        </w:rPr>
        <w:t>3</w:t>
      </w:r>
      <w:r>
        <w:rPr>
          <w:rFonts w:hint="eastAsia" w:ascii="Times New Roman" w:hAnsi="Times New Roman" w:cs="Times New Roman"/>
          <w:bCs/>
          <w:color w:val="auto"/>
          <w:sz w:val="32"/>
          <w:szCs w:val="32"/>
        </w:rPr>
        <w:t>年</w:t>
      </w:r>
      <w:r>
        <w:rPr>
          <w:rFonts w:hint="eastAsia" w:ascii="Times New Roman" w:hAnsi="Times New Roman" w:cs="Times New Roman"/>
          <w:bCs/>
          <w:color w:val="auto"/>
          <w:sz w:val="32"/>
          <w:szCs w:val="32"/>
          <w:lang w:val="en-US" w:eastAsia="zh-CN"/>
        </w:rPr>
        <w:t>3</w:t>
      </w:r>
      <w:r>
        <w:rPr>
          <w:rFonts w:hint="eastAsia" w:ascii="Times New Roman" w:hAnsi="Times New Roman" w:cs="Times New Roman"/>
          <w:bCs/>
          <w:color w:val="auto"/>
          <w:sz w:val="32"/>
          <w:szCs w:val="32"/>
        </w:rPr>
        <w:t>月</w:t>
      </w:r>
      <w:r>
        <w:rPr>
          <w:rFonts w:hint="eastAsia" w:ascii="Times New Roman" w:hAnsi="Times New Roman" w:cs="Times New Roman"/>
          <w:bCs/>
          <w:color w:val="auto"/>
          <w:sz w:val="32"/>
          <w:szCs w:val="32"/>
          <w:lang w:val="en-US" w:eastAsia="zh-CN"/>
        </w:rPr>
        <w:t>1</w:t>
      </w:r>
      <w:r>
        <w:rPr>
          <w:rFonts w:hint="eastAsia" w:cs="Times New Roman"/>
          <w:bCs/>
          <w:color w:val="auto"/>
          <w:sz w:val="32"/>
          <w:szCs w:val="32"/>
          <w:lang w:val="en-US" w:eastAsia="zh-CN"/>
        </w:rPr>
        <w:t>1</w:t>
      </w:r>
      <w:r>
        <w:rPr>
          <w:rFonts w:hint="eastAsia" w:ascii="Times New Roman" w:hAnsi="Times New Roman" w:cs="Times New Roman"/>
          <w:bCs/>
          <w:color w:val="auto"/>
          <w:sz w:val="32"/>
          <w:szCs w:val="32"/>
        </w:rPr>
        <w:t>日-</w:t>
      </w:r>
      <w:r>
        <w:rPr>
          <w:rFonts w:hint="eastAsia" w:ascii="Times New Roman" w:hAnsi="Times New Roman" w:cs="Times New Roman"/>
          <w:bCs/>
          <w:color w:val="auto"/>
          <w:sz w:val="32"/>
          <w:szCs w:val="32"/>
          <w:lang w:val="en-US" w:eastAsia="zh-CN"/>
        </w:rPr>
        <w:t>3</w:t>
      </w:r>
      <w:r>
        <w:rPr>
          <w:rFonts w:hint="eastAsia" w:ascii="Times New Roman" w:hAnsi="Times New Roman" w:cs="Times New Roman"/>
          <w:bCs/>
          <w:color w:val="auto"/>
          <w:sz w:val="32"/>
          <w:szCs w:val="32"/>
        </w:rPr>
        <w:t>月</w:t>
      </w:r>
      <w:r>
        <w:rPr>
          <w:rFonts w:hint="eastAsia" w:ascii="Times New Roman" w:hAnsi="Times New Roman" w:cs="Times New Roman"/>
          <w:bCs/>
          <w:color w:val="auto"/>
          <w:sz w:val="32"/>
          <w:szCs w:val="32"/>
          <w:lang w:val="en-US" w:eastAsia="zh-CN"/>
        </w:rPr>
        <w:t>20</w:t>
      </w:r>
      <w:r>
        <w:rPr>
          <w:rFonts w:hint="eastAsia" w:ascii="Times New Roman" w:hAnsi="Times New Roman" w:cs="Times New Roman"/>
          <w:bCs/>
          <w:color w:val="auto"/>
          <w:sz w:val="32"/>
          <w:szCs w:val="32"/>
        </w:rPr>
        <w:t>日</w:t>
      </w:r>
      <w:r>
        <w:rPr>
          <w:rFonts w:hint="eastAsia"/>
          <w:color w:val="auto"/>
          <w:sz w:val="32"/>
          <w:szCs w:val="32"/>
        </w:rPr>
        <w:t>，评价组按照绩效评价的原则和规范，对取得的资料进行审查核实，对采集的数据进行分析，按照绩效评价指标评分表逐项进行打分、分析，汇总各方评价结果，综合分析并形成评价结论。</w:t>
      </w:r>
    </w:p>
    <w:p>
      <w:pPr>
        <w:pStyle w:val="3"/>
        <w:spacing w:line="360" w:lineRule="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4"/>
        <w:spacing w:line="360" w:lineRule="auto"/>
        <w:rPr>
          <w:rFonts w:hint="eastAsia"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ascii="Times New Roman" w:hAnsi="Times New Roman" w:cs="Times New Roman"/>
          <w:bCs/>
          <w:color w:val="auto"/>
          <w:sz w:val="32"/>
          <w:szCs w:val="32"/>
          <w:highlight w:val="none"/>
          <w:lang w:val="en-US" w:eastAsia="zh-CN"/>
        </w:rPr>
        <w:t>比较法、因素分析</w:t>
      </w:r>
      <w:r>
        <w:rPr>
          <w:rFonts w:hint="eastAsia"/>
          <w:bCs/>
          <w:color w:val="auto"/>
          <w:sz w:val="32"/>
          <w:szCs w:val="32"/>
          <w:lang w:eastAsia="zh-CN"/>
        </w:rPr>
        <w:t>的方法</w:t>
      </w:r>
      <w:r>
        <w:rPr>
          <w:rFonts w:hint="eastAsia"/>
          <w:color w:val="auto"/>
        </w:rPr>
        <w:t>，坚持</w:t>
      </w:r>
      <w:r>
        <w:rPr>
          <w:rFonts w:hint="eastAsia"/>
          <w:bCs/>
          <w:color w:val="auto"/>
          <w:sz w:val="32"/>
          <w:szCs w:val="32"/>
        </w:rPr>
        <w:t>计划标准</w:t>
      </w:r>
      <w:r>
        <w:rPr>
          <w:rFonts w:hint="eastAsia"/>
          <w:color w:val="auto"/>
        </w:rPr>
        <w:t>对本项目的立项、绩效目标、资金投入、资金管理、组织实施、产出数量、产出质量、产出时效、产出成本、项目效益进行了综合评价。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rPr>
        <w:t>项目评价得分情况</w:t>
      </w:r>
    </w:p>
    <w:tbl>
      <w:tblPr>
        <w:tblStyle w:val="9"/>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4"/>
        <w:spacing w:line="360" w:lineRule="auto"/>
        <w:rPr>
          <w:rFonts w:hint="eastAsia"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rFonts w:hint="eastAsia" w:eastAsia="仿宋_GB2312"/>
          <w:color w:val="auto"/>
          <w:lang w:val="en-US" w:eastAsia="zh-CN"/>
        </w:rPr>
      </w:pPr>
      <w:r>
        <w:rPr>
          <w:rFonts w:hint="eastAsia"/>
          <w:color w:val="auto"/>
        </w:rPr>
        <w:t>本项目的项目决策、项目过程、项目产出、项目效益均达到了预期要求，最终</w:t>
      </w:r>
      <w:r>
        <w:rPr>
          <w:rFonts w:hint="eastAsia"/>
          <w:color w:val="auto"/>
          <w:lang w:val="en-US" w:eastAsia="zh-CN"/>
        </w:rPr>
        <w:t>评</w:t>
      </w:r>
      <w:r>
        <w:rPr>
          <w:rFonts w:hint="eastAsia"/>
          <w:color w:val="auto"/>
        </w:rPr>
        <w:t>分为100分，</w:t>
      </w:r>
      <w:r>
        <w:rPr>
          <w:rFonts w:hint="eastAsia"/>
          <w:color w:val="auto"/>
          <w:lang w:val="en-US" w:eastAsia="zh-CN"/>
        </w:rPr>
        <w:t>评价等级为“优”，</w:t>
      </w:r>
      <w:r>
        <w:rPr>
          <w:rFonts w:hint="eastAsia"/>
          <w:color w:val="auto"/>
        </w:rPr>
        <w:t>项目达成年度指标</w:t>
      </w:r>
      <w:r>
        <w:rPr>
          <w:rFonts w:hint="eastAsia"/>
          <w:color w:val="auto"/>
          <w:lang w:eastAsia="zh-CN"/>
        </w:rPr>
        <w:t>。</w:t>
      </w:r>
    </w:p>
    <w:p>
      <w:pPr>
        <w:pStyle w:val="3"/>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4"/>
        <w:spacing w:line="360" w:lineRule="auto"/>
        <w:rPr>
          <w:rFonts w:hint="eastAsia"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立项依据充分性</w:t>
      </w:r>
    </w:p>
    <w:p>
      <w:pPr>
        <w:spacing w:line="360" w:lineRule="auto"/>
        <w:ind w:firstLine="600" w:firstLineChars="200"/>
        <w:rPr>
          <w:color w:val="FF0000"/>
        </w:rPr>
      </w:pPr>
      <w:r>
        <w:rPr>
          <w:rFonts w:hint="eastAsia" w:ascii="Times New Roman" w:hAnsi="Times New Roman" w:cs="Times New Roman"/>
          <w:color w:val="auto"/>
          <w:lang w:eastAsia="zh-CN"/>
        </w:rPr>
        <w:t>2022年4月-2023年3月国有企业办中小学退休教师各项补贴经费</w:t>
      </w:r>
      <w:r>
        <w:rPr>
          <w:rFonts w:hint="eastAsia" w:cs="Times New Roman"/>
          <w:color w:val="auto"/>
          <w:lang w:val="en-US" w:eastAsia="zh-CN"/>
        </w:rPr>
        <w:t>,</w:t>
      </w:r>
      <w:r>
        <w:rPr>
          <w:rFonts w:hint="eastAsia" w:ascii="Times New Roman" w:hAnsi="Times New Roman" w:cs="Times New Roman"/>
          <w:color w:val="auto"/>
        </w:rPr>
        <w:t>项目立项</w:t>
      </w:r>
      <w:r>
        <w:rPr>
          <w:rFonts w:hint="eastAsia" w:ascii="Times New Roman" w:hAnsi="Times New Roman" w:cs="Times New Roman"/>
          <w:color w:val="auto"/>
          <w:lang w:eastAsia="zh-CN"/>
        </w:rPr>
        <w:t>以按照</w:t>
      </w:r>
      <w:r>
        <w:rPr>
          <w:rFonts w:hint="eastAsia" w:cs="Times New Roman"/>
          <w:color w:val="auto"/>
          <w:lang w:eastAsia="zh-CN"/>
        </w:rPr>
        <w:t>伊州财建</w:t>
      </w:r>
      <w:r>
        <w:rPr>
          <w:rFonts w:hint="eastAsia" w:ascii="Times New Roman" w:hAnsi="Times New Roman" w:cs="Times New Roman"/>
          <w:color w:val="auto"/>
          <w:lang w:eastAsia="zh-CN"/>
        </w:rPr>
        <w:t>[</w:t>
      </w:r>
      <w:r>
        <w:rPr>
          <w:rFonts w:hint="eastAsia" w:cs="Times New Roman"/>
          <w:color w:val="auto"/>
          <w:lang w:val="en-US" w:eastAsia="zh-CN"/>
        </w:rPr>
        <w:t>2022</w:t>
      </w:r>
      <w:r>
        <w:rPr>
          <w:rFonts w:hint="eastAsia" w:ascii="Times New Roman" w:hAnsi="Times New Roman" w:cs="Times New Roman"/>
          <w:color w:val="auto"/>
          <w:lang w:eastAsia="zh-CN"/>
        </w:rPr>
        <w:t>]</w:t>
      </w:r>
      <w:r>
        <w:rPr>
          <w:rFonts w:hint="eastAsia" w:cs="Times New Roman"/>
          <w:color w:val="auto"/>
          <w:lang w:val="en-US" w:eastAsia="zh-CN"/>
        </w:rPr>
        <w:t>5</w:t>
      </w:r>
      <w:r>
        <w:rPr>
          <w:rFonts w:hint="eastAsia" w:ascii="Times New Roman" w:hAnsi="Times New Roman" w:cs="Times New Roman"/>
          <w:color w:val="auto"/>
          <w:lang w:eastAsia="zh-CN"/>
        </w:rPr>
        <w:t>4号文件</w:t>
      </w:r>
      <w:r>
        <w:rPr>
          <w:rFonts w:hint="eastAsia" w:cs="Times New Roman"/>
          <w:color w:val="auto"/>
          <w:lang w:val="en-US" w:eastAsia="zh-CN"/>
        </w:rPr>
        <w:t>关于下达2021年政府还贷二级公路取消收费后补助资金用于国家干线和农村公路养护的通知</w:t>
      </w:r>
      <w:r>
        <w:rPr>
          <w:rFonts w:hint="eastAsia" w:ascii="Times New Roman" w:hAnsi="Times New Roman" w:cs="Times New Roman"/>
          <w:color w:val="auto"/>
        </w:rPr>
        <w:t>文件</w:t>
      </w:r>
      <w:r>
        <w:rPr>
          <w:rFonts w:hint="eastAsia" w:ascii="Times New Roman" w:hAnsi="Times New Roman" w:cs="Times New Roman"/>
          <w:color w:val="auto"/>
          <w:lang w:eastAsia="zh-CN"/>
        </w:rPr>
        <w:t>为依据，</w:t>
      </w:r>
      <w:r>
        <w:rPr>
          <w:rFonts w:hint="eastAsia" w:ascii="Times New Roman" w:hAnsi="Times New Roman" w:cs="Times New Roman"/>
          <w:color w:val="auto"/>
        </w:rPr>
        <w:t>项目立项符合国家法律法规、国民经济发展规划和相关政策；符合行业发展规划和政策要求；与部门职责范围相符，属于部门履职所需；属于公共财政支持范围，符合中央、地方事权支出责任划分原则</w:t>
      </w:r>
      <w:r>
        <w:rPr>
          <w:rFonts w:hint="eastAsia" w:ascii="Times New Roman" w:hAnsi="Times New Roman" w:cs="Times New Roman"/>
          <w:color w:val="auto"/>
          <w:lang w:eastAsia="zh-CN"/>
        </w:rPr>
        <w:t>。</w:t>
      </w:r>
      <w:r>
        <w:rPr>
          <w:rFonts w:hint="eastAsia" w:ascii="Times New Roman" w:hAnsi="Times New Roman" w:cs="Times New Roman"/>
          <w:color w:val="auto"/>
        </w:rPr>
        <w:t>项目</w:t>
      </w:r>
      <w:r>
        <w:rPr>
          <w:rFonts w:hint="eastAsia" w:cs="Times New Roman"/>
          <w:color w:val="auto"/>
          <w:lang w:val="en-US" w:eastAsia="zh-CN"/>
        </w:rPr>
        <w:t>未</w:t>
      </w:r>
      <w:r>
        <w:rPr>
          <w:rFonts w:hint="eastAsia" w:ascii="Times New Roman" w:hAnsi="Times New Roman" w:cs="Times New Roman"/>
          <w:color w:val="auto"/>
        </w:rPr>
        <w:t>与相关部门同类项目或部门内部相关项目重复。</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立项程序规范性</w:t>
      </w:r>
    </w:p>
    <w:p>
      <w:pPr>
        <w:spacing w:line="360" w:lineRule="auto"/>
        <w:ind w:firstLine="600" w:firstLineChars="200"/>
        <w:rPr>
          <w:rFonts w:hint="eastAsia" w:ascii="Times New Roman" w:hAnsi="Times New Roman" w:cs="Times New Roman"/>
          <w:color w:val="auto"/>
          <w:lang w:val="en-US" w:eastAsia="zh-CN"/>
        </w:rPr>
      </w:pPr>
      <w:r>
        <w:rPr>
          <w:rFonts w:hint="eastAsia" w:ascii="Times New Roman" w:hAnsi="Times New Roman" w:cs="Times New Roman"/>
          <w:color w:val="auto"/>
          <w:lang w:eastAsia="zh-CN"/>
        </w:rPr>
        <w:t>2022年4月-2023年3月国有企业办中小学退休教师各项补贴经费项目</w:t>
      </w:r>
      <w:r>
        <w:rPr>
          <w:rFonts w:hint="eastAsia" w:ascii="Times New Roman" w:hAnsi="Times New Roman" w:cs="Times New Roman"/>
          <w:color w:val="auto"/>
          <w:lang w:val="en-US" w:eastAsia="zh-CN"/>
        </w:rPr>
        <w:t>按照规定的程序申请设立；审批文件、材料符合相关要求；事前已经过必要的可行性研究、专家论证、风险评估、绩效评估、集体决策。</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绩效目标合理性</w:t>
      </w:r>
    </w:p>
    <w:p>
      <w:pPr>
        <w:spacing w:line="360" w:lineRule="auto"/>
        <w:ind w:firstLine="600" w:firstLineChars="200"/>
        <w:rPr>
          <w:rFonts w:hint="eastAsia" w:ascii="Times New Roman" w:hAnsi="Times New Roman" w:cs="Times New Roman"/>
          <w:color w:val="auto"/>
        </w:rPr>
      </w:pPr>
      <w:r>
        <w:rPr>
          <w:rFonts w:hint="eastAsia" w:ascii="Times New Roman" w:hAnsi="Times New Roman" w:cs="Times New Roman"/>
          <w:color w:val="auto"/>
          <w:lang w:eastAsia="zh-CN"/>
        </w:rPr>
        <w:t>2022年4月-2023年3月国有企业办中小学退休教师各项补贴经费</w:t>
      </w:r>
      <w:r>
        <w:rPr>
          <w:rFonts w:hint="eastAsia" w:ascii="Times New Roman" w:hAnsi="Times New Roman" w:cs="Times New Roman"/>
          <w:color w:val="auto"/>
        </w:rPr>
        <w:t>项目设立了项目绩效目标，与</w:t>
      </w:r>
      <w:r>
        <w:rPr>
          <w:rFonts w:hint="eastAsia" w:ascii="Times New Roman" w:hAnsi="Times New Roman" w:cs="Times New Roman"/>
          <w:color w:val="auto"/>
          <w:lang w:eastAsia="zh-CN"/>
        </w:rPr>
        <w:t>义教公用经费、家庭经济困难学生生活补助、校舍安全保障长效机制及特岗教师工资性补助</w:t>
      </w:r>
      <w:r>
        <w:rPr>
          <w:rFonts w:hint="eastAsia" w:ascii="Times New Roman" w:hAnsi="Times New Roman" w:cs="Times New Roman"/>
          <w:color w:val="auto"/>
        </w:rPr>
        <w:t>具有相关性，项目的预期产出效益和效果也均能符合正常的业绩水平，并且与预算确定的项目投资额或资金量相匹配。</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绩效指标明确性</w:t>
      </w:r>
    </w:p>
    <w:p>
      <w:pPr>
        <w:spacing w:line="360" w:lineRule="auto"/>
        <w:ind w:firstLine="600" w:firstLineChars="200"/>
        <w:jc w:val="left"/>
        <w:rPr>
          <w:rFonts w:hint="eastAsia" w:ascii="Times New Roman" w:hAnsi="Times New Roman" w:cs="Times New Roman"/>
          <w:color w:val="auto"/>
        </w:rPr>
      </w:pPr>
      <w:bookmarkStart w:id="12" w:name="_Hlk68699917"/>
      <w:r>
        <w:rPr>
          <w:rFonts w:hint="eastAsia" w:ascii="Times New Roman" w:hAnsi="Times New Roman" w:cs="Times New Roman"/>
          <w:color w:val="auto"/>
          <w:lang w:eastAsia="zh-CN"/>
        </w:rPr>
        <w:t>2022年4月-2023年3月国有企业办中小学退休教师各项补贴经费</w:t>
      </w:r>
      <w:r>
        <w:rPr>
          <w:rFonts w:hint="eastAsia" w:ascii="Times New Roman" w:hAnsi="Times New Roman" w:cs="Times New Roman"/>
          <w:color w:val="auto"/>
        </w:rPr>
        <w:t>项目将项目绩效目标细化分解为具体的绩效指标，一级指标共</w:t>
      </w:r>
      <w:r>
        <w:rPr>
          <w:rFonts w:hint="eastAsia" w:ascii="Times New Roman" w:hAnsi="Times New Roman" w:cs="Times New Roman"/>
          <w:color w:val="auto"/>
          <w:lang w:val="en-US" w:eastAsia="zh-CN"/>
        </w:rPr>
        <w:t>3</w:t>
      </w:r>
      <w:r>
        <w:rPr>
          <w:rFonts w:hint="eastAsia" w:ascii="Times New Roman" w:hAnsi="Times New Roman" w:cs="Times New Roman"/>
          <w:color w:val="auto"/>
        </w:rPr>
        <w:t>条，二级指标共</w:t>
      </w:r>
      <w:r>
        <w:rPr>
          <w:rFonts w:hint="eastAsia" w:ascii="Times New Roman" w:hAnsi="Times New Roman" w:cs="Times New Roman"/>
          <w:color w:val="auto"/>
          <w:lang w:val="en-US" w:eastAsia="zh-CN"/>
        </w:rPr>
        <w:t>6</w:t>
      </w:r>
      <w:r>
        <w:rPr>
          <w:rFonts w:hint="eastAsia" w:ascii="Times New Roman" w:hAnsi="Times New Roman" w:cs="Times New Roman"/>
          <w:color w:val="auto"/>
        </w:rPr>
        <w:t>条，三级指标共</w:t>
      </w:r>
      <w:r>
        <w:rPr>
          <w:rFonts w:hint="eastAsia" w:cs="Times New Roman"/>
          <w:color w:val="auto"/>
          <w:lang w:val="en-US" w:eastAsia="zh-CN"/>
        </w:rPr>
        <w:t>10</w:t>
      </w:r>
      <w:r>
        <w:rPr>
          <w:rFonts w:hint="eastAsia" w:ascii="Times New Roman" w:hAnsi="Times New Roman" w:cs="Times New Roman"/>
          <w:color w:val="auto"/>
        </w:rPr>
        <w:t>条，其中量化指标条数共</w:t>
      </w:r>
      <w:r>
        <w:rPr>
          <w:rFonts w:hint="eastAsia" w:cs="Times New Roman"/>
          <w:color w:val="auto"/>
          <w:lang w:val="en-US" w:eastAsia="zh-CN"/>
        </w:rPr>
        <w:t>9</w:t>
      </w:r>
      <w:r>
        <w:rPr>
          <w:rFonts w:hint="eastAsia" w:ascii="Times New Roman" w:hAnsi="Times New Roman" w:cs="Times New Roman"/>
          <w:color w:val="auto"/>
        </w:rPr>
        <w:t>条，所有绩效指标均通过清晰、可衡量的指标值予以体现，并且做到了与项目目标任务数或计划数相对应。</w:t>
      </w:r>
      <w:bookmarkEnd w:id="12"/>
    </w:p>
    <w:p>
      <w:pPr>
        <w:pStyle w:val="4"/>
        <w:spacing w:line="360" w:lineRule="auto"/>
        <w:ind w:firstLine="640" w:firstLineChars="200"/>
        <w:rPr>
          <w:rFonts w:hint="eastAsia" w:ascii="仿宋_GB2312" w:eastAsia="仿宋_GB2312"/>
          <w:b w:val="0"/>
          <w:bCs w:val="0"/>
        </w:rPr>
      </w:pPr>
      <w:bookmarkStart w:id="13" w:name="_Toc68703840"/>
      <w:r>
        <w:rPr>
          <w:rFonts w:hint="eastAsia" w:ascii="仿宋_GB2312" w:eastAsia="仿宋_GB2312"/>
          <w:b w:val="0"/>
          <w:bCs w:val="0"/>
        </w:rPr>
        <w:t>5.预算编制科学性</w:t>
      </w:r>
    </w:p>
    <w:p>
      <w:pPr>
        <w:pStyle w:val="4"/>
        <w:spacing w:line="360" w:lineRule="auto"/>
        <w:ind w:firstLine="640" w:firstLineChars="200"/>
        <w:rPr>
          <w:rFonts w:hint="eastAsia" w:ascii="仿宋_GB2312" w:eastAsia="仿宋_GB2312"/>
          <w:b w:val="0"/>
          <w:bCs w:val="0"/>
        </w:rPr>
      </w:pPr>
      <w:r>
        <w:rPr>
          <w:rFonts w:hint="eastAsia" w:ascii="仿宋_GB2312" w:eastAsia="仿宋_GB2312"/>
          <w:b w:val="0"/>
          <w:bCs w:val="0"/>
        </w:rPr>
        <w:t>2022年4月-2023年3月国有企业办中小学退休教师各项补贴经费项目预算编制经过科学论证；预算内容与项目内容匹配；预算额度测算依据充分，按照标准编制；预算确定的项目投资额或资金量与工作任务相匹配。</w:t>
      </w:r>
    </w:p>
    <w:p>
      <w:pPr>
        <w:pStyle w:val="4"/>
        <w:spacing w:line="360" w:lineRule="auto"/>
        <w:ind w:firstLine="640" w:firstLineChars="200"/>
        <w:rPr>
          <w:rFonts w:hint="eastAsia" w:ascii="仿宋_GB2312" w:eastAsia="仿宋_GB2312"/>
          <w:b w:val="0"/>
          <w:bCs w:val="0"/>
        </w:rPr>
      </w:pPr>
      <w:r>
        <w:rPr>
          <w:rFonts w:hint="eastAsia" w:ascii="仿宋_GB2312" w:eastAsia="仿宋_GB2312"/>
          <w:b w:val="0"/>
          <w:bCs w:val="0"/>
        </w:rPr>
        <w:t>6.资金分配合理性</w:t>
      </w:r>
    </w:p>
    <w:p>
      <w:pPr>
        <w:pStyle w:val="4"/>
        <w:spacing w:line="360" w:lineRule="auto"/>
        <w:ind w:firstLine="640" w:firstLineChars="200"/>
        <w:rPr>
          <w:rFonts w:hint="eastAsia" w:ascii="仿宋_GB2312" w:eastAsia="仿宋_GB2312"/>
          <w:b w:val="0"/>
          <w:bCs w:val="0"/>
        </w:rPr>
      </w:pPr>
      <w:r>
        <w:rPr>
          <w:rFonts w:hint="eastAsia" w:ascii="仿宋_GB2312" w:eastAsia="仿宋_GB2312"/>
          <w:b w:val="0"/>
          <w:bCs w:val="0"/>
        </w:rPr>
        <w:t>2022年4月-2023年3月国有企业办中小学退休教师各项补贴经费项目预算资金分配依据充分；资金分配额度合理，与项目单位和地方实际相适应。</w:t>
      </w:r>
    </w:p>
    <w:p>
      <w:pPr>
        <w:pStyle w:val="4"/>
        <w:spacing w:line="360" w:lineRule="auto"/>
        <w:rPr>
          <w:rFonts w:hint="eastAsia" w:ascii="仿宋_GB2312" w:eastAsia="仿宋_GB2312"/>
          <w:b w:val="0"/>
          <w:bCs w:val="0"/>
        </w:rPr>
      </w:pPr>
      <w:r>
        <w:rPr>
          <w:rFonts w:hint="eastAsia" w:ascii="仿宋_GB2312" w:eastAsia="仿宋_GB2312"/>
          <w:b w:val="0"/>
          <w:bCs w:val="0"/>
        </w:rPr>
        <w:t>（二）项目过程情况。</w:t>
      </w:r>
    </w:p>
    <w:p>
      <w:pPr>
        <w:pStyle w:val="4"/>
        <w:spacing w:line="360" w:lineRule="auto"/>
        <w:ind w:firstLine="640" w:firstLineChars="200"/>
        <w:rPr>
          <w:rFonts w:hint="eastAsia" w:ascii="仿宋_GB2312" w:eastAsia="仿宋_GB2312"/>
          <w:b w:val="0"/>
          <w:bCs w:val="0"/>
        </w:rPr>
      </w:pPr>
      <w:r>
        <w:rPr>
          <w:rFonts w:hint="eastAsia" w:ascii="仿宋_GB2312" w:eastAsia="仿宋_GB2312"/>
          <w:b w:val="0"/>
          <w:bCs w:val="0"/>
        </w:rPr>
        <w:t>1.资金到位率：</w:t>
      </w:r>
    </w:p>
    <w:p>
      <w:pPr>
        <w:pStyle w:val="4"/>
        <w:spacing w:line="360" w:lineRule="auto"/>
        <w:ind w:firstLine="640" w:firstLineChars="200"/>
        <w:rPr>
          <w:rFonts w:hint="eastAsia" w:ascii="仿宋_GB2312" w:eastAsia="仿宋_GB2312"/>
          <w:b w:val="0"/>
          <w:bCs w:val="0"/>
        </w:rPr>
      </w:pPr>
      <w:r>
        <w:rPr>
          <w:rFonts w:hint="eastAsia" w:ascii="仿宋_GB2312" w:eastAsia="仿宋_GB2312"/>
          <w:b w:val="0"/>
          <w:bCs w:val="0"/>
        </w:rPr>
        <w:t>预算资金</w:t>
      </w:r>
      <w:r>
        <w:rPr>
          <w:rFonts w:hint="eastAsia" w:ascii="仿宋_GB2312" w:eastAsia="仿宋_GB2312"/>
          <w:b w:val="0"/>
          <w:bCs w:val="0"/>
          <w:lang w:val="en-US" w:eastAsia="zh-CN"/>
        </w:rPr>
        <w:t>16.87</w:t>
      </w:r>
      <w:r>
        <w:rPr>
          <w:rFonts w:hint="eastAsia" w:ascii="仿宋_GB2312" w:eastAsia="仿宋_GB2312"/>
          <w:b w:val="0"/>
          <w:bCs w:val="0"/>
        </w:rPr>
        <w:t>万元，实际到位资金</w:t>
      </w:r>
      <w:r>
        <w:rPr>
          <w:rFonts w:hint="eastAsia" w:ascii="仿宋_GB2312" w:eastAsia="仿宋_GB2312"/>
          <w:b w:val="0"/>
          <w:bCs w:val="0"/>
          <w:lang w:val="en-US" w:eastAsia="zh-CN"/>
        </w:rPr>
        <w:t>16.87</w:t>
      </w:r>
      <w:r>
        <w:rPr>
          <w:rFonts w:hint="eastAsia" w:ascii="仿宋_GB2312" w:eastAsia="仿宋_GB2312"/>
          <w:b w:val="0"/>
          <w:bCs w:val="0"/>
        </w:rPr>
        <w:t>万元，资金到位率100%。</w:t>
      </w:r>
    </w:p>
    <w:p>
      <w:pPr>
        <w:pStyle w:val="4"/>
        <w:spacing w:line="360" w:lineRule="auto"/>
        <w:ind w:firstLine="640" w:firstLineChars="200"/>
        <w:rPr>
          <w:rFonts w:hint="eastAsia" w:ascii="仿宋_GB2312" w:eastAsia="仿宋_GB2312"/>
          <w:b w:val="0"/>
          <w:bCs w:val="0"/>
        </w:rPr>
      </w:pPr>
      <w:r>
        <w:rPr>
          <w:rFonts w:hint="eastAsia" w:ascii="仿宋_GB2312" w:eastAsia="仿宋_GB2312"/>
          <w:b w:val="0"/>
          <w:bCs w:val="0"/>
        </w:rPr>
        <w:t>2.预算执行率</w:t>
      </w:r>
    </w:p>
    <w:p>
      <w:pPr>
        <w:pStyle w:val="4"/>
        <w:spacing w:line="360" w:lineRule="auto"/>
        <w:ind w:firstLine="640" w:firstLineChars="200"/>
        <w:rPr>
          <w:rFonts w:hint="eastAsia" w:ascii="仿宋_GB2312" w:eastAsia="仿宋_GB2312"/>
          <w:b w:val="0"/>
          <w:bCs w:val="0"/>
        </w:rPr>
      </w:pPr>
      <w:r>
        <w:rPr>
          <w:rFonts w:hint="eastAsia" w:ascii="仿宋_GB2312" w:eastAsia="仿宋_GB2312"/>
          <w:b w:val="0"/>
          <w:bCs w:val="0"/>
        </w:rPr>
        <w:t>年初预算数</w:t>
      </w:r>
      <w:r>
        <w:rPr>
          <w:rFonts w:hint="eastAsia" w:ascii="仿宋_GB2312" w:eastAsia="仿宋_GB2312"/>
          <w:b w:val="0"/>
          <w:bCs w:val="0"/>
          <w:lang w:val="en-US" w:eastAsia="zh-CN"/>
        </w:rPr>
        <w:t>16.87</w:t>
      </w:r>
      <w:r>
        <w:rPr>
          <w:rFonts w:hint="eastAsia" w:ascii="仿宋_GB2312" w:eastAsia="仿宋_GB2312"/>
          <w:b w:val="0"/>
          <w:bCs w:val="0"/>
        </w:rPr>
        <w:t>万元，全年预算数</w:t>
      </w:r>
      <w:r>
        <w:rPr>
          <w:rFonts w:hint="eastAsia" w:ascii="仿宋_GB2312" w:eastAsia="仿宋_GB2312"/>
          <w:b w:val="0"/>
          <w:bCs w:val="0"/>
          <w:lang w:val="en-US" w:eastAsia="zh-CN"/>
        </w:rPr>
        <w:t>16.87</w:t>
      </w:r>
      <w:r>
        <w:rPr>
          <w:rFonts w:hint="eastAsia" w:ascii="仿宋_GB2312" w:eastAsia="仿宋_GB2312"/>
          <w:b w:val="0"/>
          <w:bCs w:val="0"/>
        </w:rPr>
        <w:t>万元，全年执行数</w:t>
      </w:r>
      <w:r>
        <w:rPr>
          <w:rFonts w:hint="eastAsia" w:ascii="仿宋_GB2312" w:eastAsia="仿宋_GB2312"/>
          <w:b w:val="0"/>
          <w:bCs w:val="0"/>
          <w:lang w:val="en-US" w:eastAsia="zh-CN"/>
        </w:rPr>
        <w:t>16.87</w:t>
      </w:r>
      <w:r>
        <w:rPr>
          <w:rFonts w:hint="eastAsia" w:ascii="仿宋_GB2312" w:eastAsia="仿宋_GB2312"/>
          <w:b w:val="0"/>
          <w:bCs w:val="0"/>
        </w:rPr>
        <w:t>万元，预算执行率为</w:t>
      </w:r>
      <w:r>
        <w:rPr>
          <w:rFonts w:hint="eastAsia" w:ascii="仿宋_GB2312" w:eastAsia="仿宋_GB2312"/>
          <w:b w:val="0"/>
          <w:bCs w:val="0"/>
          <w:lang w:val="en-US" w:eastAsia="zh-CN"/>
        </w:rPr>
        <w:t>100</w:t>
      </w:r>
      <w:r>
        <w:rPr>
          <w:rFonts w:hint="eastAsia" w:ascii="仿宋_GB2312" w:eastAsia="仿宋_GB2312"/>
          <w:b w:val="0"/>
          <w:bCs w:val="0"/>
        </w:rPr>
        <w:t>%</w:t>
      </w:r>
    </w:p>
    <w:p>
      <w:pPr>
        <w:pStyle w:val="4"/>
        <w:spacing w:line="360" w:lineRule="auto"/>
        <w:rPr>
          <w:rFonts w:hint="eastAsia" w:ascii="仿宋_GB2312" w:eastAsia="仿宋_GB2312"/>
          <w:b w:val="0"/>
          <w:bCs w:val="0"/>
        </w:rPr>
      </w:pPr>
      <w:r>
        <w:rPr>
          <w:rFonts w:hint="eastAsia" w:ascii="仿宋_GB2312" w:eastAsia="仿宋_GB2312"/>
          <w:b w:val="0"/>
          <w:bCs w:val="0"/>
        </w:rPr>
        <w:t>3.资金使用合规性</w:t>
      </w:r>
    </w:p>
    <w:p>
      <w:pPr>
        <w:pStyle w:val="4"/>
        <w:spacing w:line="360" w:lineRule="auto"/>
        <w:ind w:firstLine="640" w:firstLineChars="200"/>
        <w:rPr>
          <w:rFonts w:hint="eastAsia" w:ascii="仿宋_GB2312" w:eastAsia="仿宋_GB2312"/>
          <w:b w:val="0"/>
          <w:bCs w:val="0"/>
        </w:rPr>
      </w:pPr>
      <w:r>
        <w:rPr>
          <w:rFonts w:hint="eastAsia" w:ascii="仿宋_GB2312" w:eastAsia="仿宋_GB2312"/>
          <w:b w:val="0"/>
          <w:bCs w:val="0"/>
        </w:rPr>
        <w:t>符合国家财经法规和财务管理制度以及有关专项资金管理办法的规定；资金的拨付有完整的审批程序和手续；符合项目预算批复或合同规定的用途；不存在截留、挤占、挪用、虚列支出等情况。</w:t>
      </w:r>
    </w:p>
    <w:p>
      <w:pPr>
        <w:pStyle w:val="4"/>
        <w:spacing w:line="360" w:lineRule="auto"/>
        <w:rPr>
          <w:rFonts w:hint="eastAsia" w:ascii="仿宋_GB2312" w:eastAsia="仿宋_GB2312"/>
          <w:b w:val="0"/>
          <w:bCs w:val="0"/>
        </w:rPr>
      </w:pPr>
      <w:r>
        <w:rPr>
          <w:rFonts w:hint="eastAsia" w:ascii="仿宋_GB2312" w:eastAsia="仿宋_GB2312"/>
          <w:b w:val="0"/>
          <w:bCs w:val="0"/>
        </w:rPr>
        <w:t>4.管理制度健全性</w:t>
      </w:r>
    </w:p>
    <w:p>
      <w:pPr>
        <w:pStyle w:val="4"/>
        <w:spacing w:line="360" w:lineRule="auto"/>
        <w:ind w:firstLine="640" w:firstLineChars="200"/>
        <w:rPr>
          <w:rFonts w:hint="eastAsia" w:ascii="仿宋_GB2312" w:eastAsia="仿宋_GB2312"/>
          <w:b w:val="0"/>
          <w:bCs w:val="0"/>
        </w:rPr>
      </w:pPr>
      <w:r>
        <w:rPr>
          <w:rFonts w:hint="eastAsia" w:ascii="仿宋_GB2312" w:eastAsia="仿宋_GB2312"/>
          <w:b w:val="0"/>
          <w:bCs w:val="0"/>
        </w:rPr>
        <w:t>已制定或具有相应的财务和业务管理制度；财务和业务管理制度合法、合规、完整。</w:t>
      </w:r>
    </w:p>
    <w:p>
      <w:pPr>
        <w:pStyle w:val="4"/>
        <w:spacing w:line="360" w:lineRule="auto"/>
        <w:rPr>
          <w:rFonts w:hint="eastAsia" w:ascii="仿宋_GB2312" w:eastAsia="仿宋_GB2312"/>
          <w:b w:val="0"/>
          <w:bCs w:val="0"/>
        </w:rPr>
      </w:pPr>
      <w:r>
        <w:rPr>
          <w:rFonts w:hint="eastAsia" w:ascii="仿宋_GB2312" w:eastAsia="仿宋_GB2312"/>
          <w:b w:val="0"/>
          <w:bCs w:val="0"/>
        </w:rPr>
        <w:t>5.制度执行有效性</w:t>
      </w:r>
    </w:p>
    <w:p>
      <w:pPr>
        <w:pStyle w:val="4"/>
        <w:spacing w:line="360" w:lineRule="auto"/>
        <w:ind w:firstLine="640" w:firstLineChars="200"/>
        <w:rPr>
          <w:rFonts w:hint="eastAsia" w:ascii="仿宋_GB2312" w:eastAsia="仿宋_GB2312"/>
          <w:b w:val="0"/>
          <w:bCs w:val="0"/>
        </w:rPr>
      </w:pPr>
      <w:r>
        <w:rPr>
          <w:rFonts w:hint="eastAsia" w:ascii="仿宋_GB2312" w:eastAsia="仿宋_GB2312"/>
          <w:b w:val="0"/>
          <w:bCs w:val="0"/>
        </w:rPr>
        <w:t>遵守相关法律法规和相关管理规定；项目调整及支出调整手续完备；项目合同书、验收报告、技术鉴定等资料齐全并及时归档；项目实施的人员条件、场地设备、信息支撑等落实到位。</w:t>
      </w:r>
    </w:p>
    <w:p>
      <w:pPr>
        <w:pStyle w:val="4"/>
        <w:spacing w:line="360" w:lineRule="auto"/>
        <w:ind w:firstLine="640" w:firstLineChars="200"/>
        <w:rPr>
          <w:rFonts w:hint="eastAsia" w:ascii="仿宋_GB2312" w:eastAsia="仿宋_GB2312"/>
          <w:b w:val="0"/>
          <w:bCs w:val="0"/>
        </w:rPr>
      </w:pPr>
      <w:r>
        <w:rPr>
          <w:rFonts w:hint="eastAsia" w:ascii="仿宋_GB2312" w:eastAsia="仿宋_GB2312"/>
          <w:b w:val="0"/>
          <w:bCs w:val="0"/>
        </w:rPr>
        <w:t>（三）项目产出情况。</w:t>
      </w:r>
      <w:bookmarkEnd w:id="13"/>
    </w:p>
    <w:p>
      <w:pPr>
        <w:spacing w:line="360" w:lineRule="auto"/>
        <w:ind w:firstLine="640" w:firstLineChars="200"/>
        <w:rPr>
          <w:color w:val="auto"/>
          <w:sz w:val="32"/>
          <w:szCs w:val="32"/>
        </w:rPr>
      </w:pPr>
      <w:r>
        <w:rPr>
          <w:rFonts w:hint="eastAsia"/>
          <w:color w:val="auto"/>
          <w:sz w:val="32"/>
          <w:szCs w:val="32"/>
        </w:rPr>
        <w:t>1</w:t>
      </w:r>
      <w:r>
        <w:rPr>
          <w:rFonts w:hint="eastAsia"/>
          <w:color w:val="auto"/>
          <w:sz w:val="32"/>
          <w:szCs w:val="32"/>
          <w:lang w:val="en-US" w:eastAsia="zh-CN"/>
        </w:rPr>
        <w:t>.</w:t>
      </w:r>
      <w:r>
        <w:rPr>
          <w:rFonts w:hint="eastAsia"/>
          <w:color w:val="auto"/>
          <w:sz w:val="32"/>
          <w:szCs w:val="32"/>
        </w:rPr>
        <w:t>数量指标：指标1：国有企业办中小学退休教师生活补贴政策享受人次，指标值：</w:t>
      </w:r>
      <w:r>
        <w:rPr>
          <w:rFonts w:hint="eastAsia"/>
          <w:color w:val="auto"/>
          <w:sz w:val="32"/>
          <w:szCs w:val="32"/>
          <w:lang w:val="en-US" w:eastAsia="zh-CN"/>
        </w:rPr>
        <w:t>=3人</w:t>
      </w:r>
      <w:r>
        <w:rPr>
          <w:rFonts w:hint="eastAsia"/>
          <w:color w:val="auto"/>
          <w:sz w:val="32"/>
          <w:szCs w:val="32"/>
        </w:rPr>
        <w:t>，实际完成值</w:t>
      </w:r>
      <w:r>
        <w:rPr>
          <w:rFonts w:hint="eastAsia"/>
          <w:color w:val="auto"/>
          <w:sz w:val="32"/>
          <w:szCs w:val="32"/>
          <w:lang w:val="en-US" w:eastAsia="zh-CN"/>
        </w:rPr>
        <w:t>3人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r>
        <w:rPr>
          <w:rFonts w:hint="eastAsia"/>
          <w:color w:val="auto"/>
          <w:sz w:val="32"/>
          <w:szCs w:val="32"/>
        </w:rPr>
        <w:t>指标2：退休教师生活补贴发放次数，指标值：</w:t>
      </w:r>
      <w:r>
        <w:rPr>
          <w:rFonts w:hint="eastAsia"/>
          <w:color w:val="auto"/>
          <w:sz w:val="32"/>
          <w:szCs w:val="32"/>
          <w:lang w:val="en-US" w:eastAsia="zh-CN"/>
        </w:rPr>
        <w:t>=1次</w:t>
      </w:r>
      <w:r>
        <w:rPr>
          <w:rFonts w:hint="eastAsia"/>
          <w:color w:val="auto"/>
          <w:sz w:val="32"/>
          <w:szCs w:val="32"/>
        </w:rPr>
        <w:t>，实际完成值</w:t>
      </w:r>
      <w:r>
        <w:rPr>
          <w:rFonts w:hint="eastAsia"/>
          <w:color w:val="auto"/>
          <w:sz w:val="32"/>
          <w:szCs w:val="32"/>
          <w:lang w:val="en-US" w:eastAsia="zh-CN"/>
        </w:rPr>
        <w:t>2次</w:t>
      </w:r>
      <w:r>
        <w:rPr>
          <w:rFonts w:hint="eastAsia"/>
          <w:color w:val="auto"/>
          <w:sz w:val="32"/>
          <w:szCs w:val="32"/>
        </w:rPr>
        <w:t>，指标完成率</w:t>
      </w:r>
      <w:r>
        <w:rPr>
          <w:rFonts w:hint="eastAsia"/>
          <w:color w:val="auto"/>
          <w:sz w:val="32"/>
          <w:szCs w:val="32"/>
          <w:lang w:val="en-US" w:eastAsia="zh-CN"/>
        </w:rPr>
        <w:t>200</w:t>
      </w:r>
      <w:r>
        <w:rPr>
          <w:rFonts w:hint="eastAsia"/>
          <w:color w:val="auto"/>
          <w:sz w:val="32"/>
          <w:szCs w:val="32"/>
        </w:rPr>
        <w:t>%</w:t>
      </w:r>
      <w:r>
        <w:rPr>
          <w:rFonts w:hint="eastAsia"/>
          <w:color w:val="auto"/>
          <w:sz w:val="32"/>
          <w:szCs w:val="32"/>
          <w:lang w:eastAsia="zh-CN"/>
        </w:rPr>
        <w:t>，偏差原因：上级分两次拨款，我校按上级拨款次数支付退休教师待遇。</w:t>
      </w:r>
    </w:p>
    <w:p>
      <w:pPr>
        <w:spacing w:line="360" w:lineRule="auto"/>
        <w:ind w:firstLine="640" w:firstLineChars="200"/>
        <w:rPr>
          <w:rFonts w:hint="eastAsia" w:eastAsia="仿宋_GB2312"/>
          <w:color w:val="auto"/>
          <w:sz w:val="32"/>
          <w:szCs w:val="32"/>
          <w:lang w:eastAsia="zh-CN"/>
        </w:rPr>
      </w:pPr>
      <w:r>
        <w:rPr>
          <w:color w:val="auto"/>
          <w:sz w:val="32"/>
          <w:szCs w:val="32"/>
        </w:rPr>
        <w:t>2</w:t>
      </w:r>
      <w:r>
        <w:rPr>
          <w:rFonts w:hint="eastAsia"/>
          <w:color w:val="auto"/>
          <w:sz w:val="32"/>
          <w:szCs w:val="32"/>
          <w:lang w:val="en-US" w:eastAsia="zh-CN"/>
        </w:rPr>
        <w:t>.</w:t>
      </w:r>
      <w:r>
        <w:rPr>
          <w:rFonts w:hint="eastAsia"/>
          <w:color w:val="auto"/>
          <w:sz w:val="32"/>
          <w:szCs w:val="32"/>
        </w:rPr>
        <w:t>质量指标：指标1：资金发放准确率，指标值：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pacing w:line="360" w:lineRule="auto"/>
        <w:ind w:firstLine="640" w:firstLineChars="200"/>
        <w:rPr>
          <w:color w:val="auto"/>
          <w:sz w:val="32"/>
          <w:szCs w:val="32"/>
        </w:rPr>
      </w:pPr>
      <w:r>
        <w:rPr>
          <w:rFonts w:hint="eastAsia"/>
          <w:color w:val="auto"/>
          <w:sz w:val="32"/>
          <w:szCs w:val="32"/>
        </w:rPr>
        <w:t>3</w:t>
      </w:r>
      <w:r>
        <w:rPr>
          <w:rFonts w:hint="eastAsia"/>
          <w:color w:val="auto"/>
          <w:sz w:val="32"/>
          <w:szCs w:val="32"/>
          <w:lang w:val="en-US" w:eastAsia="zh-CN"/>
        </w:rPr>
        <w:t>.</w:t>
      </w:r>
      <w:r>
        <w:rPr>
          <w:rFonts w:hint="eastAsia"/>
          <w:color w:val="auto"/>
          <w:sz w:val="32"/>
          <w:szCs w:val="32"/>
        </w:rPr>
        <w:t>时效指标：指标</w:t>
      </w:r>
      <w:r>
        <w:rPr>
          <w:rFonts w:hint="eastAsia"/>
          <w:color w:val="auto"/>
          <w:sz w:val="32"/>
          <w:szCs w:val="32"/>
          <w:lang w:val="en-US" w:eastAsia="zh-CN"/>
        </w:rPr>
        <w:t>1</w:t>
      </w:r>
      <w:r>
        <w:rPr>
          <w:rFonts w:hint="eastAsia"/>
          <w:color w:val="auto"/>
          <w:sz w:val="32"/>
          <w:szCs w:val="32"/>
        </w:rPr>
        <w:t>：资金发放及时率，指标值：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：资金下达及时性，指标值：</w:t>
      </w:r>
      <w:r>
        <w:rPr>
          <w:rFonts w:hint="eastAsia"/>
          <w:color w:val="auto"/>
          <w:sz w:val="32"/>
          <w:szCs w:val="32"/>
          <w:lang w:val="en-US" w:eastAsia="zh-CN"/>
        </w:rPr>
        <w:t>=0</w:t>
      </w:r>
      <w:r>
        <w:rPr>
          <w:rFonts w:hint="eastAsia"/>
          <w:color w:val="auto"/>
          <w:sz w:val="32"/>
          <w:szCs w:val="32"/>
        </w:rPr>
        <w:t>，实际完成值</w:t>
      </w:r>
      <w:r>
        <w:rPr>
          <w:rFonts w:hint="eastAsia"/>
          <w:color w:val="auto"/>
          <w:sz w:val="32"/>
          <w:szCs w:val="32"/>
          <w:lang w:val="en-US" w:eastAsia="zh-CN"/>
        </w:rPr>
        <w:t>0%</w:t>
      </w:r>
      <w:r>
        <w:rPr>
          <w:rFonts w:hint="eastAsia"/>
          <w:color w:val="auto"/>
          <w:sz w:val="32"/>
          <w:szCs w:val="32"/>
        </w:rPr>
        <w:t>，指标完成率</w:t>
      </w:r>
      <w:r>
        <w:rPr>
          <w:rFonts w:hint="eastAsia"/>
          <w:color w:val="auto"/>
          <w:sz w:val="32"/>
          <w:szCs w:val="32"/>
          <w:lang w:val="en-US" w:eastAsia="zh-CN"/>
        </w:rPr>
        <w:t>0</w:t>
      </w:r>
      <w:r>
        <w:rPr>
          <w:rFonts w:hint="eastAsia"/>
          <w:color w:val="auto"/>
          <w:sz w:val="32"/>
          <w:szCs w:val="32"/>
        </w:rPr>
        <w:t>%。</w:t>
      </w:r>
    </w:p>
    <w:p>
      <w:pPr>
        <w:spacing w:line="360" w:lineRule="auto"/>
        <w:ind w:firstLine="640" w:firstLineChars="200"/>
        <w:rPr>
          <w:color w:val="auto"/>
          <w:sz w:val="32"/>
          <w:szCs w:val="32"/>
        </w:rPr>
      </w:pPr>
      <w:r>
        <w:rPr>
          <w:rFonts w:hint="eastAsia"/>
          <w:color w:val="auto"/>
          <w:sz w:val="32"/>
          <w:szCs w:val="32"/>
        </w:rPr>
        <w:t>4</w:t>
      </w:r>
      <w:r>
        <w:rPr>
          <w:rFonts w:hint="eastAsia"/>
          <w:color w:val="auto"/>
          <w:sz w:val="32"/>
          <w:szCs w:val="32"/>
          <w:lang w:val="en-US" w:eastAsia="zh-CN"/>
        </w:rPr>
        <w:t>.</w:t>
      </w:r>
      <w:r>
        <w:rPr>
          <w:rFonts w:hint="eastAsia"/>
          <w:color w:val="auto"/>
          <w:sz w:val="32"/>
          <w:szCs w:val="32"/>
        </w:rPr>
        <w:t>成本指标</w:t>
      </w:r>
      <w:r>
        <w:rPr>
          <w:rFonts w:hint="eastAsia"/>
          <w:color w:val="auto"/>
          <w:sz w:val="32"/>
          <w:szCs w:val="32"/>
          <w:lang w:eastAsia="zh-CN"/>
        </w:rPr>
        <w:t>：</w:t>
      </w: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：上级补助人均资金，指标值：&lt;=5623.33元，实际完成值5623.33元，指标完成率</w:t>
      </w:r>
      <w:r>
        <w:rPr>
          <w:rFonts w:hint="eastAsia"/>
          <w:color w:val="auto"/>
          <w:sz w:val="32"/>
          <w:szCs w:val="32"/>
          <w:lang w:val="en-US" w:eastAsia="zh-CN"/>
        </w:rPr>
        <w:t>100</w:t>
      </w:r>
      <w:r>
        <w:rPr>
          <w:rFonts w:hint="eastAsia"/>
          <w:color w:val="auto"/>
          <w:sz w:val="32"/>
          <w:szCs w:val="32"/>
        </w:rPr>
        <w:t>%。</w:t>
      </w:r>
    </w:p>
    <w:p>
      <w:pPr>
        <w:spacing w:line="360" w:lineRule="auto"/>
        <w:ind w:firstLine="640" w:firstLineChars="200"/>
        <w:rPr>
          <w:rFonts w:hint="eastAsia" w:eastAsia="仿宋_GB2312"/>
          <w:color w:val="auto"/>
          <w:sz w:val="32"/>
          <w:szCs w:val="32"/>
          <w:lang w:eastAsia="zh-CN"/>
        </w:rPr>
      </w:pPr>
    </w:p>
    <w:p>
      <w:pPr>
        <w:pStyle w:val="4"/>
        <w:spacing w:line="360" w:lineRule="auto"/>
        <w:rPr>
          <w:rFonts w:hint="eastAsia" w:ascii="仿宋_GB2312" w:eastAsia="仿宋_GB2312"/>
          <w:b w:val="0"/>
          <w:bCs w:val="0"/>
          <w:color w:val="auto"/>
        </w:rPr>
      </w:pPr>
      <w:bookmarkStart w:id="14" w:name="_Toc68703841"/>
      <w:r>
        <w:rPr>
          <w:rFonts w:hint="eastAsia" w:ascii="仿宋_GB2312" w:eastAsia="仿宋_GB2312"/>
          <w:b w:val="0"/>
          <w:bCs w:val="0"/>
          <w:color w:val="auto"/>
        </w:rPr>
        <w:t>（四）项目效益情况。</w:t>
      </w:r>
      <w:bookmarkEnd w:id="14"/>
    </w:p>
    <w:p>
      <w:pPr>
        <w:spacing w:line="360" w:lineRule="auto"/>
        <w:ind w:firstLine="600" w:firstLineChars="200"/>
        <w:rPr>
          <w:color w:val="auto"/>
        </w:rPr>
      </w:pPr>
      <w:r>
        <w:rPr>
          <w:color w:val="auto"/>
        </w:rPr>
        <w:t>1</w:t>
      </w:r>
      <w:r>
        <w:rPr>
          <w:rFonts w:hint="eastAsia"/>
          <w:color w:val="auto"/>
          <w:lang w:val="en-US" w:eastAsia="zh-CN"/>
        </w:rPr>
        <w:t>.</w:t>
      </w:r>
      <w:r>
        <w:rPr>
          <w:rFonts w:hint="eastAsia"/>
          <w:color w:val="auto"/>
        </w:rPr>
        <w:t>社会效益指标：</w:t>
      </w: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：群体上访事件发生率，指标值： =0件，实际完成值</w:t>
      </w:r>
      <w:r>
        <w:rPr>
          <w:rFonts w:hint="eastAsia"/>
          <w:color w:val="auto"/>
          <w:sz w:val="32"/>
          <w:szCs w:val="32"/>
          <w:lang w:val="en-US" w:eastAsia="zh-CN"/>
        </w:rPr>
        <w:t>0件</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：保障国有企业退休人员待遇，指标值： 有效保障，实际完成值</w:t>
      </w:r>
      <w:r>
        <w:rPr>
          <w:rFonts w:hint="eastAsia"/>
          <w:color w:val="auto"/>
          <w:sz w:val="32"/>
          <w:szCs w:val="32"/>
          <w:lang w:val="en-US" w:eastAsia="zh-CN"/>
        </w:rPr>
        <w:t>有效保障</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p>
    <w:p>
      <w:pPr>
        <w:spacing w:line="360" w:lineRule="auto"/>
        <w:ind w:firstLine="600" w:firstLineChars="200"/>
        <w:rPr>
          <w:color w:val="auto"/>
        </w:rPr>
      </w:pPr>
      <w:r>
        <w:rPr>
          <w:rFonts w:hint="eastAsia"/>
          <w:color w:val="auto"/>
          <w:lang w:val="en-US" w:eastAsia="zh-CN"/>
        </w:rPr>
        <w:t>2.</w:t>
      </w:r>
      <w:r>
        <w:rPr>
          <w:rFonts w:hint="eastAsia"/>
          <w:color w:val="auto"/>
        </w:rPr>
        <w:t>满意度指标：</w:t>
      </w: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：退休教师满意度，指标值：&gt;=95%，实际完成值</w:t>
      </w:r>
      <w:r>
        <w:rPr>
          <w:rFonts w:hint="eastAsia"/>
          <w:color w:val="auto"/>
          <w:sz w:val="32"/>
          <w:szCs w:val="32"/>
          <w:lang w:val="en-US" w:eastAsia="zh-CN"/>
        </w:rPr>
        <w:t>95%</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w:t>
      </w:r>
      <w:r>
        <w:rPr>
          <w:rFonts w:hint="eastAsia"/>
          <w:color w:val="auto"/>
          <w:sz w:val="32"/>
          <w:szCs w:val="32"/>
          <w:lang w:eastAsia="zh-CN"/>
        </w:rPr>
        <w:t>国有企业满意度</w:t>
      </w:r>
      <w:r>
        <w:rPr>
          <w:rFonts w:hint="eastAsia"/>
          <w:color w:val="auto"/>
          <w:sz w:val="32"/>
          <w:szCs w:val="32"/>
        </w:rPr>
        <w:t>，指标值：</w:t>
      </w:r>
      <w:r>
        <w:rPr>
          <w:rFonts w:hint="eastAsia"/>
          <w:color w:val="auto"/>
          <w:sz w:val="32"/>
          <w:szCs w:val="32"/>
          <w:lang w:val="en-US" w:eastAsia="zh-CN"/>
        </w:rPr>
        <w:t>=0</w:t>
      </w:r>
      <w:r>
        <w:rPr>
          <w:rFonts w:hint="eastAsia"/>
          <w:color w:val="auto"/>
          <w:sz w:val="32"/>
          <w:szCs w:val="32"/>
        </w:rPr>
        <w:t>，实际完成值</w:t>
      </w:r>
      <w:r>
        <w:rPr>
          <w:rFonts w:hint="eastAsia"/>
          <w:color w:val="auto"/>
          <w:sz w:val="32"/>
          <w:szCs w:val="32"/>
          <w:lang w:val="en-US" w:eastAsia="zh-CN"/>
        </w:rPr>
        <w:t>0</w:t>
      </w:r>
      <w:r>
        <w:rPr>
          <w:rFonts w:hint="eastAsia"/>
          <w:color w:val="auto"/>
          <w:sz w:val="32"/>
          <w:szCs w:val="32"/>
        </w:rPr>
        <w:t>，指标完成率</w:t>
      </w:r>
      <w:r>
        <w:rPr>
          <w:rFonts w:hint="eastAsia"/>
          <w:color w:val="auto"/>
          <w:sz w:val="32"/>
          <w:szCs w:val="32"/>
          <w:lang w:val="en-US" w:eastAsia="zh-CN"/>
        </w:rPr>
        <w:t>0</w:t>
      </w:r>
      <w:r>
        <w:rPr>
          <w:rFonts w:hint="eastAsia"/>
          <w:color w:val="auto"/>
          <w:sz w:val="32"/>
          <w:szCs w:val="32"/>
        </w:rPr>
        <w:t>%。</w:t>
      </w:r>
    </w:p>
    <w:p>
      <w:pPr>
        <w:pStyle w:val="3"/>
        <w:spacing w:line="360" w:lineRule="auto"/>
        <w:rPr>
          <w:rFonts w:ascii="宋体" w:hAnsi="宋体" w:eastAsia="宋体"/>
          <w:sz w:val="32"/>
          <w:szCs w:val="32"/>
        </w:rPr>
      </w:pPr>
      <w:bookmarkStart w:id="15" w:name="_Toc68703842"/>
      <w:r>
        <w:rPr>
          <w:rFonts w:hint="eastAsia" w:ascii="宋体" w:hAnsi="宋体" w:eastAsia="宋体"/>
          <w:sz w:val="32"/>
          <w:szCs w:val="32"/>
        </w:rPr>
        <w:t>五、主要经验及做法、存在的问题及原因分析</w:t>
      </w:r>
      <w:bookmarkEnd w:id="15"/>
    </w:p>
    <w:p>
      <w:pPr>
        <w:pStyle w:val="4"/>
        <w:spacing w:line="360" w:lineRule="auto"/>
        <w:rPr>
          <w:rFonts w:hint="eastAsia" w:ascii="仿宋_GB2312" w:eastAsia="仿宋_GB2312"/>
          <w:b w:val="0"/>
          <w:bCs w:val="0"/>
        </w:rPr>
      </w:pPr>
      <w:bookmarkStart w:id="16" w:name="_Toc68703843"/>
      <w:r>
        <w:rPr>
          <w:rFonts w:hint="eastAsia" w:ascii="仿宋_GB2312" w:eastAsia="仿宋_GB2312"/>
          <w:b w:val="0"/>
          <w:bCs w:val="0"/>
        </w:rPr>
        <w:t>（一）主要经验及做法</w:t>
      </w:r>
      <w:bookmarkEnd w:id="16"/>
    </w:p>
    <w:p>
      <w:pPr>
        <w:spacing w:line="360" w:lineRule="auto"/>
        <w:ind w:firstLine="640" w:firstLineChars="200"/>
        <w:rPr>
          <w:rFonts w:hint="eastAsia"/>
          <w:color w:val="auto"/>
          <w:sz w:val="32"/>
          <w:szCs w:val="32"/>
        </w:rPr>
      </w:pPr>
      <w:r>
        <w:rPr>
          <w:rFonts w:hint="eastAsia"/>
          <w:color w:val="auto"/>
          <w:sz w:val="32"/>
          <w:szCs w:val="32"/>
        </w:rPr>
        <w:t>一是合理设置年初绩效目标，严格按资金具体用途将产出数量目标全部量化至三级指标，据此开展绩效监控和绩效自评工作。二是坚持专款专用的原则，严格按年初拟定的资金使用计划安排支出，不得随意突破计划、改变计划或进行无计划的支出，以提高财政资金支出的计划性与可控性。</w:t>
      </w:r>
      <w:bookmarkStart w:id="17" w:name="_Toc68703844"/>
    </w:p>
    <w:p>
      <w:pPr>
        <w:pStyle w:val="4"/>
        <w:spacing w:line="360" w:lineRule="auto"/>
        <w:rPr>
          <w:rFonts w:hint="eastAsia" w:ascii="仿宋_GB2312" w:eastAsia="仿宋_GB2312"/>
          <w:b w:val="0"/>
          <w:bCs w:val="0"/>
        </w:rPr>
      </w:pPr>
      <w:r>
        <w:rPr>
          <w:rFonts w:hint="eastAsia" w:ascii="仿宋_GB2312" w:eastAsia="仿宋_GB2312"/>
          <w:b w:val="0"/>
          <w:bCs w:val="0"/>
        </w:rPr>
        <w:t>（二）存在的问题及原因分析</w:t>
      </w:r>
      <w:bookmarkEnd w:id="17"/>
    </w:p>
    <w:p>
      <w:pPr>
        <w:spacing w:line="360" w:lineRule="auto"/>
        <w:ind w:firstLine="640" w:firstLineChars="200"/>
        <w:rPr>
          <w:rFonts w:hint="default"/>
          <w:color w:val="auto"/>
          <w:sz w:val="32"/>
          <w:szCs w:val="32"/>
          <w:highlight w:val="none"/>
          <w:lang w:val="en-US" w:eastAsia="zh-CN"/>
        </w:rPr>
      </w:pPr>
      <w:r>
        <w:rPr>
          <w:rFonts w:hint="eastAsia"/>
          <w:color w:val="auto"/>
          <w:sz w:val="32"/>
          <w:szCs w:val="32"/>
          <w:highlight w:val="none"/>
          <w:lang w:eastAsia="zh-CN"/>
        </w:rPr>
        <w:t>对</w:t>
      </w:r>
      <w:r>
        <w:rPr>
          <w:rFonts w:hint="eastAsia"/>
          <w:color w:val="auto"/>
          <w:sz w:val="32"/>
          <w:szCs w:val="32"/>
          <w:highlight w:val="none"/>
        </w:rPr>
        <w:t>国有企业办中小学退休教师各项补贴经费</w:t>
      </w:r>
      <w:r>
        <w:rPr>
          <w:rFonts w:hint="eastAsia"/>
          <w:color w:val="auto"/>
          <w:sz w:val="32"/>
          <w:szCs w:val="32"/>
          <w:highlight w:val="none"/>
          <w:lang w:eastAsia="zh-CN"/>
        </w:rPr>
        <w:t>涉及部门较多，从预算到发放审核环节多，资金管理繁琐。一是各部门对国企退休教师待遇绩效考评不够重视，量化程度需进一步提高；二是学校工作人员对此项目绩效观念模糊，绩效评价工作需加强。</w:t>
      </w:r>
    </w:p>
    <w:p>
      <w:pPr>
        <w:pStyle w:val="3"/>
        <w:numPr>
          <w:ilvl w:val="0"/>
          <w:numId w:val="1"/>
        </w:numPr>
        <w:spacing w:line="360" w:lineRule="auto"/>
        <w:rPr>
          <w:rFonts w:hint="eastAsia" w:ascii="宋体" w:hAnsi="宋体" w:eastAsia="宋体"/>
          <w:sz w:val="32"/>
          <w:szCs w:val="32"/>
        </w:rPr>
      </w:pPr>
      <w:bookmarkStart w:id="18" w:name="_Toc68703845"/>
      <w:r>
        <w:rPr>
          <w:rFonts w:hint="eastAsia" w:ascii="宋体" w:hAnsi="宋体" w:eastAsia="宋体"/>
          <w:sz w:val="32"/>
          <w:szCs w:val="32"/>
        </w:rPr>
        <w:t>有关建议</w:t>
      </w:r>
      <w:bookmarkEnd w:id="18"/>
    </w:p>
    <w:p>
      <w:pPr>
        <w:numPr>
          <w:ilvl w:val="0"/>
          <w:numId w:val="0"/>
        </w:numPr>
        <w:rPr>
          <w:rFonts w:hint="eastAsia"/>
          <w:color w:val="auto"/>
          <w:sz w:val="32"/>
          <w:szCs w:val="32"/>
          <w:lang w:val="en-US" w:eastAsia="zh-CN"/>
        </w:rPr>
      </w:pPr>
      <w:r>
        <w:rPr>
          <w:rFonts w:hint="eastAsia"/>
          <w:lang w:val="en-US" w:eastAsia="zh-CN"/>
        </w:rPr>
        <w:t xml:space="preserve"> </w:t>
      </w:r>
      <w:r>
        <w:rPr>
          <w:rFonts w:hint="eastAsia" w:ascii="宋体" w:hAnsi="宋体" w:eastAsia="宋体" w:cs="宋体"/>
          <w:sz w:val="32"/>
          <w:szCs w:val="32"/>
          <w:lang w:val="en-US" w:eastAsia="zh-CN"/>
        </w:rPr>
        <w:t xml:space="preserve">  </w:t>
      </w:r>
      <w:r>
        <w:rPr>
          <w:rFonts w:hint="eastAsia"/>
          <w:color w:val="auto"/>
          <w:sz w:val="32"/>
          <w:szCs w:val="32"/>
          <w:lang w:val="en-US" w:eastAsia="zh-CN"/>
        </w:rPr>
        <w:t xml:space="preserve"> 加强学习，建章立制，为新机制实施提供保障；加强宣传，营造氛围，为新机制实施提供舆论保障；完善校财局管制度，规范专项资金管理；加强业务培训，提高人员素质，构筑教育经费科学管理体系；强化监督检查，合理安排资金，不断完善经费内控制度。</w:t>
      </w:r>
    </w:p>
    <w:p>
      <w:pPr>
        <w:pStyle w:val="3"/>
        <w:spacing w:line="360" w:lineRule="auto"/>
        <w:rPr>
          <w:rFonts w:ascii="宋体" w:hAnsi="宋体" w:eastAsia="宋体"/>
          <w:sz w:val="32"/>
          <w:szCs w:val="32"/>
        </w:rPr>
      </w:pPr>
      <w:bookmarkStart w:id="19" w:name="_Toc68703846"/>
      <w:r>
        <w:rPr>
          <w:rFonts w:hint="eastAsia" w:ascii="宋体" w:hAnsi="宋体" w:eastAsia="宋体"/>
          <w:sz w:val="32"/>
          <w:szCs w:val="32"/>
        </w:rPr>
        <w:t>七、其他需要说明的问题</w:t>
      </w:r>
      <w:bookmarkEnd w:id="19"/>
    </w:p>
    <w:p>
      <w:pPr>
        <w:ind w:firstLine="600" w:firstLineChars="200"/>
        <w:rPr>
          <w:rFonts w:hint="eastAsia" w:eastAsia="仿宋_GB2312"/>
          <w:color w:val="auto"/>
          <w:lang w:eastAsia="zh-CN"/>
        </w:rPr>
      </w:pPr>
      <w:r>
        <w:rPr>
          <w:rFonts w:hint="eastAsia"/>
          <w:color w:val="auto"/>
          <w:lang w:eastAsia="zh-CN"/>
        </w:rPr>
        <w:t>无</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5"/>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643CC4"/>
    <w:multiLevelType w:val="singleLevel"/>
    <w:tmpl w:val="32643CC4"/>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1OTc1Njk5ZTc1OTFmMTRkOGIzMWExOWU1MzlmYjYifQ=="/>
  </w:docVars>
  <w:rsids>
    <w:rsidRoot w:val="007D49C5"/>
    <w:rsid w:val="000D63FA"/>
    <w:rsid w:val="005B64E8"/>
    <w:rsid w:val="00614288"/>
    <w:rsid w:val="00792CFE"/>
    <w:rsid w:val="007D49C5"/>
    <w:rsid w:val="008175E0"/>
    <w:rsid w:val="008C631D"/>
    <w:rsid w:val="00A114ED"/>
    <w:rsid w:val="00B24331"/>
    <w:rsid w:val="01B02265"/>
    <w:rsid w:val="077164E9"/>
    <w:rsid w:val="0CB734FB"/>
    <w:rsid w:val="0E853A01"/>
    <w:rsid w:val="0F2A6BF7"/>
    <w:rsid w:val="100638C2"/>
    <w:rsid w:val="1095476F"/>
    <w:rsid w:val="15593FD3"/>
    <w:rsid w:val="187D0FD0"/>
    <w:rsid w:val="18FF68DA"/>
    <w:rsid w:val="194F2735"/>
    <w:rsid w:val="1FA43E51"/>
    <w:rsid w:val="23161AD0"/>
    <w:rsid w:val="24DB4825"/>
    <w:rsid w:val="29B506A0"/>
    <w:rsid w:val="2A991CF9"/>
    <w:rsid w:val="2F59611B"/>
    <w:rsid w:val="36B72533"/>
    <w:rsid w:val="39452101"/>
    <w:rsid w:val="4057649F"/>
    <w:rsid w:val="44FE5A9C"/>
    <w:rsid w:val="4920769E"/>
    <w:rsid w:val="4E4F020C"/>
    <w:rsid w:val="548563D2"/>
    <w:rsid w:val="56796849"/>
    <w:rsid w:val="583E620C"/>
    <w:rsid w:val="5DA95371"/>
    <w:rsid w:val="5E286C6C"/>
    <w:rsid w:val="71AE6903"/>
    <w:rsid w:val="742164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semiHidden/>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6"/>
    <w:semiHidden/>
    <w:unhideWhenUsed/>
    <w:qFormat/>
    <w:uiPriority w:val="99"/>
    <w:pPr>
      <w:tabs>
        <w:tab w:val="center" w:pos="4153"/>
        <w:tab w:val="right" w:pos="8306"/>
      </w:tabs>
      <w:snapToGrid w:val="0"/>
      <w:jc w:val="left"/>
    </w:pPr>
    <w:rPr>
      <w:sz w:val="18"/>
      <w:szCs w:val="18"/>
    </w:rPr>
  </w:style>
  <w:style w:type="paragraph" w:styleId="6">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8">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1">
    <w:name w:val="Hyperlink"/>
    <w:basedOn w:val="10"/>
    <w:unhideWhenUsed/>
    <w:qFormat/>
    <w:uiPriority w:val="99"/>
    <w:rPr>
      <w:color w:val="0563C1" w:themeColor="hyperlink"/>
      <w:u w:val="single"/>
    </w:rPr>
  </w:style>
  <w:style w:type="character" w:customStyle="1" w:styleId="12">
    <w:name w:val="标题 1 Char"/>
    <w:basedOn w:val="10"/>
    <w:link w:val="3"/>
    <w:qFormat/>
    <w:uiPriority w:val="9"/>
    <w:rPr>
      <w:rFonts w:ascii="Times New Roman" w:hAnsi="Times New Roman" w:eastAsia="仿宋_GB2312" w:cs="Times New Roman"/>
      <w:b/>
      <w:bCs/>
      <w:kern w:val="44"/>
      <w:sz w:val="44"/>
      <w:szCs w:val="44"/>
    </w:rPr>
  </w:style>
  <w:style w:type="character" w:customStyle="1" w:styleId="13">
    <w:name w:val="标题 2 Char"/>
    <w:basedOn w:val="10"/>
    <w:link w:val="4"/>
    <w:qFormat/>
    <w:uiPriority w:val="9"/>
    <w:rPr>
      <w:rFonts w:asciiTheme="majorHAnsi" w:hAnsiTheme="majorHAnsi" w:eastAsiaTheme="majorEastAsia" w:cstheme="majorBidi"/>
      <w:b/>
      <w:bCs/>
      <w:sz w:val="32"/>
      <w:szCs w:val="32"/>
    </w:rPr>
  </w:style>
  <w:style w:type="paragraph" w:customStyle="1" w:styleId="14">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15">
    <w:name w:val="页眉 Char"/>
    <w:basedOn w:val="10"/>
    <w:link w:val="6"/>
    <w:semiHidden/>
    <w:qFormat/>
    <w:uiPriority w:val="99"/>
    <w:rPr>
      <w:rFonts w:ascii="Times New Roman" w:hAnsi="Times New Roman" w:eastAsia="仿宋_GB2312" w:cs="Times New Roman"/>
      <w:sz w:val="18"/>
      <w:szCs w:val="18"/>
    </w:rPr>
  </w:style>
  <w:style w:type="character" w:customStyle="1" w:styleId="16">
    <w:name w:val="页脚 Char"/>
    <w:basedOn w:val="10"/>
    <w:link w:val="5"/>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5043</Words>
  <Characters>5242</Characters>
  <Lines>37</Lines>
  <Paragraphs>10</Paragraphs>
  <TotalTime>2</TotalTime>
  <ScaleCrop>false</ScaleCrop>
  <LinksUpToDate>false</LinksUpToDate>
  <CharactersWithSpaces>5253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cp:lastPrinted>2023-03-21T11:40:00Z</cp:lastPrinted>
  <dcterms:modified xsi:type="dcterms:W3CDTF">2023-09-06T04:35:59Z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B0C7DB28A7854AC0AE1B11EA017401DB</vt:lpwstr>
  </property>
</Properties>
</file>