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0" w:name="_GoBack"/>
      <w:bookmarkEnd w:id="20"/>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w:t>
      </w:r>
      <w:r>
        <w:rPr>
          <w:rFonts w:hint="eastAsia" w:ascii="方正小标宋简体" w:hAnsi="方正小标宋简体" w:eastAsia="方正小标宋简体" w:cs="方正小标宋简体"/>
          <w:color w:val="000000"/>
          <w:kern w:val="0"/>
          <w:sz w:val="36"/>
          <w:szCs w:val="36"/>
          <w:lang w:val="en-US" w:eastAsia="zh-CN"/>
        </w:rPr>
        <w:t>2</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项目名称：“霍城薰衣草”国家地理标识产品申报专项经费</w:t>
      </w:r>
      <w:r>
        <w:rPr>
          <w:rFonts w:ascii="宋体" w:hAnsi="宋体" w:eastAsia="宋体" w:cs="宋体"/>
          <w:kern w:val="0"/>
          <w:sz w:val="32"/>
          <w:szCs w:val="32"/>
        </w:rPr>
        <w:t xml:space="preserve"> </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霍城县市场监督管理局</w:t>
      </w:r>
      <w:r>
        <w:rPr>
          <w:rFonts w:ascii="宋体" w:hAnsi="宋体" w:eastAsia="宋体" w:cs="宋体"/>
          <w:kern w:val="0"/>
          <w:sz w:val="32"/>
          <w:szCs w:val="32"/>
        </w:rPr>
        <w:t xml:space="preserve"> </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霍城县市场监督管理局</w:t>
      </w:r>
      <w:r>
        <w:rPr>
          <w:rFonts w:ascii="宋体" w:hAnsi="宋体" w:eastAsia="宋体" w:cs="宋体"/>
          <w:kern w:val="0"/>
          <w:sz w:val="32"/>
          <w:szCs w:val="32"/>
        </w:rPr>
        <w:t xml:space="preserve">  </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项目负责人（签章）：</w:t>
      </w:r>
      <w:r>
        <w:rPr>
          <w:rFonts w:ascii="宋体" w:hAnsi="宋体" w:eastAsia="宋体" w:cs="宋体"/>
          <w:kern w:val="0"/>
          <w:sz w:val="32"/>
          <w:szCs w:val="32"/>
        </w:rPr>
        <w:t xml:space="preserve"> </w:t>
      </w:r>
      <w:r>
        <w:rPr>
          <w:rFonts w:hint="eastAsia" w:ascii="宋体" w:hAnsi="宋体" w:eastAsia="宋体" w:cs="宋体"/>
          <w:kern w:val="0"/>
          <w:sz w:val="32"/>
          <w:szCs w:val="32"/>
          <w:lang w:eastAsia="zh-CN"/>
        </w:rPr>
        <w:t>高扬</w:t>
      </w:r>
    </w:p>
    <w:p>
      <w:pPr>
        <w:spacing w:line="560" w:lineRule="exact"/>
        <w:ind w:firstLine="321" w:firstLineChars="100"/>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16</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仿宋_GB2312"/>
          <w:szCs w:val="30"/>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pStyle w:val="3"/>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4"/>
        <w:spacing w:line="360" w:lineRule="auto"/>
        <w:rPr>
          <w:rFonts w:ascii="仿宋_GB2312" w:eastAsia="仿宋_GB2312"/>
          <w:b w:val="0"/>
          <w:bCs w:val="0"/>
        </w:rPr>
      </w:pPr>
      <w:bookmarkStart w:id="1" w:name="_Toc68703828"/>
      <w:r>
        <w:rPr>
          <w:rFonts w:hint="eastAsia" w:ascii="仿宋_GB2312" w:eastAsia="仿宋_GB2312"/>
          <w:b w:val="0"/>
          <w:bCs w:val="0"/>
        </w:rPr>
        <w:t>（一）项目概况。</w:t>
      </w:r>
      <w:bookmarkEnd w:id="1"/>
    </w:p>
    <w:p>
      <w:pPr>
        <w:spacing w:line="360" w:lineRule="auto"/>
        <w:ind w:firstLine="600" w:firstLineChars="200"/>
        <w:rPr>
          <w:rFonts w:hint="eastAsia" w:ascii="Times New Roman" w:hAnsi="Times New Roman" w:cs="Times New Roman"/>
          <w:b w:val="0"/>
          <w:bCs w:val="0"/>
          <w:color w:val="auto"/>
        </w:rPr>
      </w:pPr>
      <w:r>
        <w:rPr>
          <w:rFonts w:hint="eastAsia" w:ascii="Times New Roman" w:hAnsi="Times New Roman" w:cs="Times New Roman"/>
          <w:b w:val="0"/>
          <w:bCs w:val="0"/>
          <w:color w:val="auto"/>
        </w:rPr>
        <w:t>1、项目背景</w:t>
      </w:r>
    </w:p>
    <w:p>
      <w:pPr>
        <w:spacing w:line="360" w:lineRule="auto"/>
        <w:ind w:firstLine="600" w:firstLineChars="200"/>
        <w:rPr>
          <w:rFonts w:hint="eastAsia" w:ascii="Times New Roman" w:hAnsi="Times New Roman" w:cs="Times New Roman"/>
          <w:b w:val="0"/>
          <w:bCs w:val="0"/>
          <w:color w:val="auto"/>
          <w:lang w:eastAsia="zh-CN"/>
        </w:rPr>
      </w:pPr>
      <w:r>
        <w:rPr>
          <w:rFonts w:hint="eastAsia" w:ascii="Times New Roman" w:hAnsi="Times New Roman" w:cs="Times New Roman"/>
          <w:b w:val="0"/>
          <w:bCs w:val="0"/>
          <w:color w:val="auto"/>
        </w:rPr>
        <w:t>近年来，霍城县政府不断提升自身产业发展建设，当地拥有薰衣草产业资源优势，霍城县与世界著名薰衣草产地——法国的普罗旺斯地处同一纬度，气候、土壤环境非常相似，是世界上为数不多的适合种植薰衣草的地区之一，被誉为“中国薰衣草之乡”；近年来，霍城县作为中国最大的薰衣草种植产区，种植面积已达到5.68万多亩，产量占到了全国的75%以上，薰衣草产业在我县发展水平也不断提高，逐步形成了集原料种植、精油萃取、产品深加工、新产品研发、旅游项目开发为一体的产业模式，辖区内有投资上亿元打造的“解忧公主”薰衣草园，建设了薰衣草文化博物馆，薰衣草种植区、加工区，有新疆首个薰衣草婚纱拍摄基地，目前已形成了种植、加工、旅游等多元产业链，解忧公主品牌也成长为中国驰名商标，薰衣草产业作为霍城县的特色产业、富民产业，已经开发出涉及美容、香薰、洗浴、保健、家居饰品等近20大系列130余个品种的产品，带动了包装业、运输业、旅游业等产业的发展；经过数十年发展，霍城县和法国的普罗旺斯、日本北海道、俄罗斯高加索地区，已并列为世界四大薰衣草产地。霍城薰衣草凭借独特的自然因素和人文因素，具有较强的独特性。申报地理标志产品保护对维护霍城薰衣草的质量信誉、提高国内外市场的竞争力、提升霍城特色产品形象具有重要意义。 立项依据：1.《国家知识产权局办公室关于启动中欧地理标志保护与合作协定第二批清单受理公示准备工作的通知》国知办函保字【2022】374号文；2.霍城县人民政府关于霍城薰衣草地理标志产品保护的请示</w:t>
      </w:r>
      <w:r>
        <w:rPr>
          <w:rFonts w:hint="eastAsia" w:ascii="Times New Roman" w:hAnsi="Times New Roman" w:cs="Times New Roman"/>
          <w:b w:val="0"/>
          <w:bCs w:val="0"/>
          <w:color w:val="auto"/>
          <w:lang w:eastAsia="zh-CN"/>
        </w:rPr>
        <w:t>（</w:t>
      </w:r>
      <w:r>
        <w:rPr>
          <w:rFonts w:hint="eastAsia" w:ascii="Times New Roman" w:hAnsi="Times New Roman" w:cs="Times New Roman"/>
          <w:b w:val="0"/>
          <w:bCs w:val="0"/>
          <w:color w:val="auto"/>
        </w:rPr>
        <w:t>霍政发【2022】107号</w:t>
      </w:r>
      <w:r>
        <w:rPr>
          <w:rFonts w:hint="eastAsia" w:ascii="Times New Roman" w:hAnsi="Times New Roman" w:cs="Times New Roman"/>
          <w:b w:val="0"/>
          <w:bCs w:val="0"/>
          <w:color w:val="auto"/>
          <w:lang w:eastAsia="zh-CN"/>
        </w:rPr>
        <w:t>）</w:t>
      </w:r>
      <w:r>
        <w:rPr>
          <w:rFonts w:hint="eastAsia" w:ascii="Times New Roman" w:hAnsi="Times New Roman" w:cs="Times New Roman"/>
          <w:b w:val="0"/>
          <w:bCs w:val="0"/>
          <w:color w:val="auto"/>
        </w:rPr>
        <w:t>；3.霍城县国民经济和社会发展第十四个五年规划纲要与2035 年远景目标</w:t>
      </w:r>
      <w:r>
        <w:rPr>
          <w:rFonts w:hint="eastAsia" w:ascii="Times New Roman" w:hAnsi="Times New Roman" w:cs="Times New Roman"/>
          <w:b w:val="0"/>
          <w:bCs w:val="0"/>
          <w:color w:val="auto"/>
          <w:lang w:eastAsia="zh-CN"/>
        </w:rPr>
        <w:t>。</w:t>
      </w:r>
    </w:p>
    <w:p>
      <w:pPr>
        <w:spacing w:line="360" w:lineRule="auto"/>
        <w:ind w:firstLine="600" w:firstLineChars="200"/>
        <w:rPr>
          <w:rFonts w:ascii="仿宋_GB2312"/>
        </w:rPr>
      </w:pPr>
      <w:r>
        <w:rPr>
          <w:rFonts w:hint="eastAsia" w:ascii="仿宋_GB2312"/>
        </w:rPr>
        <w:t>2、主要内容</w:t>
      </w:r>
      <w:r>
        <w:rPr>
          <w:rFonts w:hint="eastAsia"/>
        </w:rPr>
        <w:t>及</w:t>
      </w:r>
      <w:r>
        <w:rPr>
          <w:rFonts w:hint="eastAsia" w:ascii="仿宋_GB2312"/>
        </w:rPr>
        <w:t>实施情况</w:t>
      </w:r>
    </w:p>
    <w:p>
      <w:pPr>
        <w:spacing w:line="360" w:lineRule="auto"/>
        <w:ind w:firstLine="600" w:firstLineChars="200"/>
        <w:rPr>
          <w:rFonts w:hint="eastAsia" w:ascii="Times New Roman" w:hAnsi="Times New Roman" w:cs="Times New Roman"/>
          <w:b w:val="0"/>
          <w:bCs w:val="0"/>
          <w:color w:val="auto"/>
        </w:rPr>
      </w:pPr>
      <w:r>
        <w:rPr>
          <w:rFonts w:hint="eastAsia" w:ascii="Times New Roman" w:hAnsi="Times New Roman" w:cs="Times New Roman"/>
          <w:b w:val="0"/>
          <w:bCs w:val="0"/>
          <w:color w:val="auto"/>
        </w:rPr>
        <w:t>主要内容：工作任务是组织报送涉及本地《协定》附录“第三条第一款所指原产于中华人民共和国的地理标志产品”全部175个地理标志产品的技术规范。完成清单产品技术规范中、英文版本。 霍城薰衣草国家地理标志产品保护申报：向国家知识产权局申请对霍城薰衣草国家地理标志产品进行保护，以推动我县产业振兴。</w:t>
      </w:r>
    </w:p>
    <w:p>
      <w:pPr>
        <w:spacing w:line="360" w:lineRule="auto"/>
        <w:ind w:firstLine="600" w:firstLineChars="200"/>
        <w:rPr>
          <w:rFonts w:hint="eastAsia" w:cs="Times New Roman"/>
          <w:b w:val="0"/>
          <w:bCs w:val="0"/>
          <w:color w:val="auto"/>
          <w:lang w:eastAsia="zh-CN"/>
        </w:rPr>
      </w:pPr>
      <w:r>
        <w:rPr>
          <w:rFonts w:hint="eastAsia" w:ascii="仿宋_GB2312"/>
        </w:rPr>
        <w:t>实施情况：</w:t>
      </w:r>
      <w:r>
        <w:rPr>
          <w:rFonts w:hint="eastAsia" w:ascii="Times New Roman" w:hAnsi="Times New Roman" w:cs="Times New Roman"/>
          <w:b w:val="0"/>
          <w:bCs w:val="0"/>
          <w:color w:val="auto"/>
        </w:rPr>
        <w:t xml:space="preserve"> </w:t>
      </w:r>
      <w:r>
        <w:rPr>
          <w:rFonts w:hint="eastAsia" w:cs="Times New Roman"/>
          <w:b w:val="0"/>
          <w:bCs w:val="0"/>
          <w:color w:val="auto"/>
          <w:lang w:eastAsia="zh-CN"/>
        </w:rPr>
        <w:t>“</w:t>
      </w:r>
      <w:r>
        <w:rPr>
          <w:rFonts w:hint="eastAsia" w:ascii="Times New Roman" w:hAnsi="Times New Roman" w:cs="Times New Roman"/>
          <w:b w:val="0"/>
          <w:bCs w:val="0"/>
          <w:color w:val="auto"/>
        </w:rPr>
        <w:t>霍城薰衣草</w:t>
      </w:r>
      <w:r>
        <w:rPr>
          <w:rFonts w:hint="eastAsia" w:cs="Times New Roman"/>
          <w:b w:val="0"/>
          <w:bCs w:val="0"/>
          <w:color w:val="auto"/>
          <w:lang w:eastAsia="zh-CN"/>
        </w:rPr>
        <w:t>”</w:t>
      </w:r>
      <w:r>
        <w:rPr>
          <w:rFonts w:hint="eastAsia" w:ascii="Times New Roman" w:hAnsi="Times New Roman" w:cs="Times New Roman"/>
          <w:b w:val="0"/>
          <w:bCs w:val="0"/>
          <w:color w:val="auto"/>
        </w:rPr>
        <w:t>国家地理标志产品保护申报</w:t>
      </w:r>
      <w:r>
        <w:rPr>
          <w:rFonts w:hint="eastAsia" w:cs="Times New Roman"/>
          <w:b w:val="0"/>
          <w:bCs w:val="0"/>
          <w:color w:val="auto"/>
          <w:lang w:eastAsia="zh-CN"/>
        </w:rPr>
        <w:t>，</w:t>
      </w:r>
      <w:r>
        <w:rPr>
          <w:rFonts w:hint="eastAsia" w:ascii="Times New Roman" w:hAnsi="Times New Roman" w:cs="Times New Roman"/>
          <w:b w:val="0"/>
          <w:bCs w:val="0"/>
          <w:color w:val="auto"/>
        </w:rPr>
        <w:t>向国家知识产权局申请对霍城薰衣草国家地理标志产品进行保护</w:t>
      </w:r>
      <w:r>
        <w:rPr>
          <w:rFonts w:hint="eastAsia" w:cs="Times New Roman"/>
          <w:b w:val="0"/>
          <w:bCs w:val="0"/>
          <w:color w:val="auto"/>
          <w:lang w:eastAsia="zh-CN"/>
        </w:rPr>
        <w:t>，目前已向国家局提交申报资料等待审批。</w:t>
      </w:r>
    </w:p>
    <w:p>
      <w:pPr>
        <w:spacing w:line="360" w:lineRule="auto"/>
        <w:ind w:firstLine="600" w:firstLineChars="200"/>
        <w:rPr>
          <w:rFonts w:ascii="仿宋_GB2312"/>
        </w:rPr>
      </w:pPr>
      <w:r>
        <w:rPr>
          <w:rFonts w:ascii="仿宋_GB2312"/>
        </w:rPr>
        <w:t>3</w:t>
      </w:r>
      <w:r>
        <w:rPr>
          <w:rFonts w:hint="eastAsia" w:ascii="仿宋_GB2312"/>
        </w:rPr>
        <w:t>、资金投入和使用情况</w:t>
      </w:r>
    </w:p>
    <w:p>
      <w:pPr>
        <w:spacing w:line="360" w:lineRule="auto"/>
        <w:ind w:firstLine="600" w:firstLineChars="200"/>
        <w:rPr>
          <w:color w:val="auto"/>
        </w:rPr>
      </w:pPr>
      <w:r>
        <w:rPr>
          <w:rFonts w:hint="eastAsia"/>
          <w:color w:val="auto"/>
        </w:rPr>
        <w:t>资金投入情况：该项目年初预算数</w:t>
      </w:r>
      <w:r>
        <w:rPr>
          <w:rFonts w:hint="eastAsia"/>
          <w:color w:val="auto"/>
          <w:lang w:val="en-US" w:eastAsia="zh-CN"/>
        </w:rPr>
        <w:t>0</w:t>
      </w:r>
      <w:r>
        <w:rPr>
          <w:rFonts w:hint="eastAsia"/>
          <w:color w:val="auto"/>
        </w:rPr>
        <w:t>万元，全年预算数</w:t>
      </w:r>
      <w:r>
        <w:rPr>
          <w:rFonts w:hint="eastAsia"/>
          <w:color w:val="auto"/>
          <w:lang w:val="en-US" w:eastAsia="zh-CN"/>
        </w:rPr>
        <w:t>7.5</w:t>
      </w:r>
      <w:r>
        <w:rPr>
          <w:rFonts w:hint="eastAsia"/>
          <w:color w:val="auto"/>
        </w:rPr>
        <w:t>万元，实际总投入</w:t>
      </w:r>
      <w:r>
        <w:rPr>
          <w:rFonts w:hint="eastAsia"/>
          <w:color w:val="auto"/>
          <w:lang w:val="en-US" w:eastAsia="zh-CN"/>
        </w:rPr>
        <w:t>7.5</w:t>
      </w:r>
      <w:r>
        <w:rPr>
          <w:rFonts w:hint="eastAsia"/>
          <w:color w:val="auto"/>
        </w:rPr>
        <w:t>万元，该项目资金落实到位</w:t>
      </w:r>
      <w:r>
        <w:rPr>
          <w:rFonts w:hint="eastAsia"/>
          <w:color w:val="auto"/>
          <w:lang w:val="en-US" w:eastAsia="zh-CN"/>
        </w:rPr>
        <w:t>7.5</w:t>
      </w:r>
      <w:r>
        <w:rPr>
          <w:rFonts w:hint="eastAsia"/>
          <w:color w:val="auto"/>
        </w:rPr>
        <w:t>万元，资金来源为</w:t>
      </w:r>
      <w:r>
        <w:rPr>
          <w:rFonts w:hint="eastAsia"/>
          <w:color w:val="auto"/>
          <w:lang w:eastAsia="zh-CN"/>
        </w:rPr>
        <w:t>一般公共预算（县级财力）</w:t>
      </w:r>
      <w:r>
        <w:rPr>
          <w:rFonts w:hint="eastAsia"/>
          <w:color w:val="auto"/>
        </w:rPr>
        <w:t>。</w:t>
      </w:r>
    </w:p>
    <w:p>
      <w:pPr>
        <w:spacing w:line="360" w:lineRule="auto"/>
        <w:ind w:firstLine="600" w:firstLineChars="200"/>
        <w:rPr>
          <w:color w:val="auto"/>
        </w:rPr>
      </w:pPr>
      <w:r>
        <w:rPr>
          <w:rFonts w:hint="eastAsia"/>
          <w:color w:val="auto"/>
        </w:rPr>
        <w:t>资金使用情况：该项目年初预算数</w:t>
      </w:r>
      <w:r>
        <w:rPr>
          <w:color w:val="auto"/>
        </w:rPr>
        <w:t xml:space="preserve"> </w:t>
      </w:r>
      <w:r>
        <w:rPr>
          <w:rFonts w:hint="eastAsia"/>
          <w:color w:val="auto"/>
          <w:lang w:val="en-US" w:eastAsia="zh-CN"/>
        </w:rPr>
        <w:t>0</w:t>
      </w:r>
      <w:r>
        <w:rPr>
          <w:rFonts w:hint="eastAsia"/>
          <w:color w:val="auto"/>
        </w:rPr>
        <w:t>万元</w:t>
      </w:r>
      <w:r>
        <w:rPr>
          <w:rFonts w:hint="eastAsia"/>
          <w:color w:val="auto"/>
          <w:lang w:eastAsia="zh-CN"/>
        </w:rPr>
        <w:t>，</w:t>
      </w:r>
      <w:r>
        <w:rPr>
          <w:rFonts w:hint="eastAsia"/>
          <w:color w:val="auto"/>
        </w:rPr>
        <w:t>全年预算数</w:t>
      </w:r>
      <w:r>
        <w:rPr>
          <w:rFonts w:hint="eastAsia"/>
          <w:color w:val="auto"/>
          <w:lang w:val="en-US" w:eastAsia="zh-CN"/>
        </w:rPr>
        <w:t>7.5</w:t>
      </w:r>
      <w:r>
        <w:rPr>
          <w:rFonts w:hint="eastAsia"/>
          <w:color w:val="auto"/>
        </w:rPr>
        <w:t>万元，全年执行数</w:t>
      </w:r>
      <w:r>
        <w:rPr>
          <w:rFonts w:hint="eastAsia"/>
          <w:color w:val="auto"/>
          <w:lang w:val="en-US" w:eastAsia="zh-CN"/>
        </w:rPr>
        <w:t>7.5</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用于：</w:t>
      </w:r>
      <w:r>
        <w:rPr>
          <w:rFonts w:hint="eastAsia"/>
          <w:color w:val="auto"/>
          <w:lang w:eastAsia="zh-CN"/>
        </w:rPr>
        <w:t>单个申报项目前期费用</w:t>
      </w:r>
      <w:r>
        <w:rPr>
          <w:rFonts w:hint="eastAsia"/>
          <w:color w:val="auto"/>
          <w:lang w:val="en-US" w:eastAsia="zh-CN"/>
        </w:rPr>
        <w:t>7.5</w:t>
      </w:r>
      <w:r>
        <w:rPr>
          <w:rFonts w:hint="eastAsia"/>
          <w:color w:val="auto"/>
        </w:rPr>
        <w:t>万元。</w:t>
      </w:r>
    </w:p>
    <w:p>
      <w:pPr>
        <w:pStyle w:val="4"/>
        <w:spacing w:line="360" w:lineRule="auto"/>
        <w:ind w:firstLine="640" w:firstLineChars="200"/>
        <w:rPr>
          <w:rFonts w:ascii="仿宋_GB2312" w:eastAsia="仿宋_GB2312"/>
          <w:b w:val="0"/>
          <w:bCs w:val="0"/>
          <w:color w:val="auto"/>
        </w:rPr>
      </w:pPr>
      <w:bookmarkStart w:id="2" w:name="_Toc68703829"/>
      <w:r>
        <w:rPr>
          <w:rFonts w:hint="eastAsia" w:ascii="仿宋_GB2312" w:eastAsia="仿宋_GB2312"/>
          <w:b w:val="0"/>
          <w:bCs w:val="0"/>
          <w:color w:val="auto"/>
        </w:rPr>
        <w:t>（二）项目绩效目标。</w:t>
      </w:r>
      <w:bookmarkEnd w:id="2"/>
    </w:p>
    <w:p>
      <w:pPr>
        <w:spacing w:line="360" w:lineRule="auto"/>
        <w:ind w:firstLine="600" w:firstLineChars="200"/>
        <w:rPr>
          <w:rFonts w:hint="eastAsia" w:ascii="Times New Roman" w:hAnsi="Times New Roman" w:cs="Times New Roman"/>
          <w:b w:val="0"/>
          <w:bCs w:val="0"/>
          <w:color w:val="auto"/>
        </w:rPr>
      </w:pPr>
      <w:r>
        <w:rPr>
          <w:rFonts w:hint="eastAsia" w:ascii="Times New Roman" w:hAnsi="Times New Roman" w:cs="Times New Roman"/>
          <w:b w:val="0"/>
          <w:bCs w:val="0"/>
          <w:color w:val="auto"/>
          <w:lang w:val="en-US" w:eastAsia="zh-CN"/>
        </w:rPr>
        <w:t>1、</w:t>
      </w:r>
      <w:r>
        <w:rPr>
          <w:rFonts w:hint="eastAsia" w:ascii="Times New Roman" w:hAnsi="Times New Roman" w:cs="Times New Roman"/>
          <w:b w:val="0"/>
          <w:bCs w:val="0"/>
          <w:color w:val="auto"/>
        </w:rPr>
        <w:t>总体目标：为做大做强我县薰衣草产业，提高“薰衣草”的知名度，信誉度，增加产品的附加值，增强市场竞争力，保护“霍城薰衣草”在国内外市场上免受假冒伪劣产品的侵害和薰衣草生产企业的合法利益，存进经济又快又好发展，实现增收富民的目标。申报“霍城薰衣草”地理标志产品保护，能够有效保护我县具有典型地域特征的著名土特产产品不受侵害，提高“霍城薰衣草”的品牌知名度，更好地以优异的品种参与国内、国际市场竞争，保护广大生产企业的合法权益，增加薰衣草产品的附加值。</w:t>
      </w:r>
    </w:p>
    <w:p>
      <w:pPr>
        <w:numPr>
          <w:ilvl w:val="0"/>
          <w:numId w:val="0"/>
        </w:numPr>
        <w:spacing w:line="360" w:lineRule="auto"/>
        <w:ind w:firstLine="300" w:firstLineChars="100"/>
      </w:pPr>
      <w:r>
        <w:t>2</w:t>
      </w:r>
      <w:r>
        <w:rPr>
          <w:rFonts w:hint="eastAsia"/>
        </w:rPr>
        <w:t>、阶段性目标：</w:t>
      </w:r>
      <w:r>
        <w:rPr>
          <w:rFonts w:hint="eastAsia"/>
          <w:lang w:val="en-US" w:eastAsia="zh-CN"/>
        </w:rPr>
        <w:t>1.向国家知识产权局提交申报资料，并</w:t>
      </w:r>
      <w:r>
        <w:rPr>
          <w:rFonts w:hint="eastAsia" w:ascii="Times New Roman" w:hAnsi="Times New Roman" w:cs="Times New Roman"/>
          <w:b w:val="0"/>
          <w:bCs w:val="0"/>
          <w:color w:val="auto"/>
        </w:rPr>
        <w:t>完成清单产品技术规范中、英文版本。</w:t>
      </w:r>
      <w:r>
        <w:rPr>
          <w:rFonts w:hint="eastAsia" w:cs="Times New Roman"/>
          <w:b w:val="0"/>
          <w:bCs w:val="0"/>
          <w:color w:val="auto"/>
          <w:lang w:val="en-US" w:eastAsia="zh-CN"/>
        </w:rPr>
        <w:t>2.</w:t>
      </w:r>
      <w:r>
        <w:rPr>
          <w:rFonts w:hint="eastAsia" w:ascii="Times New Roman" w:hAnsi="Times New Roman" w:cs="Times New Roman"/>
          <w:b w:val="0"/>
          <w:bCs w:val="0"/>
          <w:color w:val="auto"/>
        </w:rPr>
        <w:t xml:space="preserve"> 霍城薰衣草国家地理标志产品保护申报：向国家知识产权局申请对霍城薰衣草国家地理标志产品进行保护，以推动我县产业振兴</w:t>
      </w:r>
    </w:p>
    <w:p>
      <w:pPr>
        <w:pStyle w:val="3"/>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4"/>
        <w:spacing w:line="360" w:lineRule="auto"/>
        <w:rPr>
          <w:rFonts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ind w:firstLine="600" w:firstLineChars="200"/>
        <w:rPr>
          <w:rFonts w:hint="eastAsia" w:ascii="Times New Roman" w:hAnsi="Times New Roman" w:cs="Times New Roman"/>
          <w:b w:val="0"/>
          <w:bCs w:val="0"/>
          <w:color w:val="auto"/>
        </w:rPr>
      </w:pPr>
      <w:r>
        <w:rPr>
          <w:rFonts w:hint="eastAsia"/>
        </w:rPr>
        <w:t>1、</w:t>
      </w:r>
      <w:r>
        <w:rPr>
          <w:rFonts w:hint="eastAsia" w:ascii="Times New Roman" w:hAnsi="Times New Roman" w:cs="Times New Roman"/>
          <w:b w:val="0"/>
          <w:bCs w:val="0"/>
          <w:color w:val="auto"/>
        </w:rPr>
        <w:t>绩效评价目的：</w:t>
      </w:r>
    </w:p>
    <w:p>
      <w:pPr>
        <w:spacing w:line="360" w:lineRule="auto"/>
        <w:ind w:firstLine="600" w:firstLineChars="200"/>
        <w:rPr>
          <w:rFonts w:hint="eastAsia" w:ascii="Times New Roman" w:hAnsi="Times New Roman" w:cs="Times New Roman"/>
          <w:b w:val="0"/>
          <w:bCs w:val="0"/>
          <w:color w:val="auto"/>
        </w:rPr>
      </w:pPr>
      <w:r>
        <w:rPr>
          <w:rFonts w:hint="eastAsia" w:ascii="Times New Roman" w:hAnsi="Times New Roman" w:cs="Times New Roman"/>
          <w:b w:val="0"/>
          <w:bCs w:val="0"/>
          <w:color w:val="auto"/>
        </w:rPr>
        <w:t>通过绩效评价，客观地评判项目的管理绩效，了解和掌握“霍城薰衣草”国家地理标识产品申报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pPr>
      <w:r>
        <w:rPr>
          <w:rFonts w:hint="eastAsia"/>
        </w:rPr>
        <w:t>2、绩效评价对象：</w:t>
      </w:r>
    </w:p>
    <w:p>
      <w:pPr>
        <w:spacing w:line="360" w:lineRule="auto"/>
        <w:ind w:firstLine="640" w:firstLineChars="200"/>
        <w:rPr>
          <w:rFonts w:hint="eastAsia" w:ascii="仿宋_GB2312"/>
          <w:bCs/>
          <w:color w:val="auto"/>
          <w:sz w:val="32"/>
          <w:szCs w:val="32"/>
        </w:rPr>
      </w:pPr>
      <w:r>
        <w:rPr>
          <w:rFonts w:hint="eastAsia" w:ascii="仿宋_GB2312"/>
          <w:bCs/>
          <w:color w:val="auto"/>
          <w:sz w:val="32"/>
          <w:szCs w:val="32"/>
        </w:rPr>
        <w:t>“霍城薰衣草”国家地理标识产品申报</w:t>
      </w:r>
    </w:p>
    <w:p>
      <w:pPr>
        <w:spacing w:line="360" w:lineRule="auto"/>
        <w:ind w:firstLine="600" w:firstLineChars="200"/>
      </w:pPr>
      <w:r>
        <w:rPr>
          <w:rFonts w:hint="eastAsia"/>
        </w:rPr>
        <w:t>3、绩效评价范围：</w:t>
      </w:r>
    </w:p>
    <w:p>
      <w:pPr>
        <w:spacing w:line="360" w:lineRule="auto"/>
        <w:ind w:firstLine="600" w:firstLineChars="200"/>
      </w:pPr>
      <w:r>
        <w:rPr>
          <w:rFonts w:hint="eastAsia"/>
          <w:b w:val="0"/>
          <w:bCs w:val="0"/>
          <w:color w:val="auto"/>
        </w:rPr>
        <w:t>本次评价从项目决策（包括绩效目标、决策过程）、项目管理（包括项目资金、项目实施）、项目产出（包括项目产出数量、产出质量、产出时效和产出成本）项目效益四个维度进行</w:t>
      </w:r>
      <w:r>
        <w:rPr>
          <w:rFonts w:hint="eastAsia" w:ascii="仿宋_GB2312"/>
          <w:b w:val="0"/>
          <w:bCs w:val="0"/>
          <w:color w:val="auto"/>
          <w:sz w:val="32"/>
          <w:szCs w:val="32"/>
        </w:rPr>
        <w:t>“霍城薰衣草”国家地理标识产品申报</w:t>
      </w:r>
      <w:r>
        <w:rPr>
          <w:rFonts w:hint="eastAsia"/>
          <w:b w:val="0"/>
          <w:bCs w:val="0"/>
          <w:color w:val="auto"/>
        </w:rPr>
        <w:t>评价，评价核心为专项资金的支出完成情况和效果。</w:t>
      </w:r>
    </w:p>
    <w:p>
      <w:pPr>
        <w:pStyle w:val="4"/>
        <w:spacing w:line="360" w:lineRule="auto"/>
        <w:rPr>
          <w:rFonts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pPr>
      <w:r>
        <w:rPr>
          <w:rFonts w:hint="eastAsia"/>
        </w:rPr>
        <w:t>1、绩效评价原则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rPr>
      </w:pPr>
      <w:r>
        <w:rPr>
          <w:rFonts w:hint="eastAsia" w:ascii="仿宋_GB2312"/>
          <w:bCs/>
          <w:color w:val="auto"/>
          <w:sz w:val="32"/>
          <w:szCs w:val="32"/>
        </w:rPr>
        <w:t>（四）公开透明。本次项目支出绩效评价结果已依法依规公开在</w:t>
      </w:r>
      <w:r>
        <w:rPr>
          <w:rFonts w:hint="eastAsia" w:ascii="仿宋_GB2312"/>
          <w:bCs/>
          <w:color w:val="auto"/>
          <w:sz w:val="32"/>
          <w:szCs w:val="32"/>
          <w:lang w:eastAsia="zh-CN"/>
        </w:rPr>
        <w:t>霍城政府</w:t>
      </w:r>
      <w:r>
        <w:rPr>
          <w:rFonts w:hint="eastAsia" w:ascii="仿宋_GB2312"/>
          <w:bCs/>
          <w:color w:val="auto"/>
          <w:sz w:val="32"/>
          <w:szCs w:val="32"/>
        </w:rPr>
        <w:t>网站上，并自觉接受社会监督。</w:t>
      </w:r>
    </w:p>
    <w:p>
      <w:pPr>
        <w:spacing w:line="360" w:lineRule="auto"/>
        <w:rPr>
          <w:color w:val="auto"/>
        </w:rPr>
      </w:pPr>
    </w:p>
    <w:p>
      <w:pPr>
        <w:spacing w:line="360" w:lineRule="auto"/>
      </w:pPr>
      <w:r>
        <w:rPr>
          <w:rFonts w:hint="eastAsia"/>
        </w:rPr>
        <w:t>2、评价指标体系（附表说明）</w:t>
      </w:r>
    </w:p>
    <w:p>
      <w:pPr>
        <w:spacing w:line="360" w:lineRule="auto"/>
        <w:rPr>
          <w:rFonts w:ascii="Times New Roman" w:hAnsi="Times New Roman" w:eastAsia="仿宋_GB2312" w:cs="Times New Roman"/>
          <w:b w:val="0"/>
          <w:bCs w:val="0"/>
          <w:sz w:val="30"/>
          <w:szCs w:val="24"/>
        </w:rPr>
      </w:pPr>
      <w:r>
        <w:rPr>
          <w:rFonts w:hint="eastAsia" w:ascii="仿宋_GB2312"/>
          <w:bCs/>
          <w:color w:val="auto"/>
          <w:sz w:val="32"/>
          <w:szCs w:val="32"/>
        </w:rPr>
        <w:t>霍城薰衣草国家地理标识产品申报</w:t>
      </w:r>
      <w:r>
        <w:rPr>
          <w:rFonts w:hint="eastAsia" w:ascii="Times New Roman" w:hAnsi="Times New Roman" w:eastAsia="仿宋_GB2312" w:cs="Times New Roman"/>
          <w:b w:val="0"/>
          <w:bCs w:val="0"/>
          <w:sz w:val="30"/>
          <w:szCs w:val="24"/>
        </w:rPr>
        <w:t>项目支出绩效评价指标体系</w:t>
      </w:r>
    </w:p>
    <w:tbl>
      <w:tblPr>
        <w:tblStyle w:val="9"/>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940"/>
        <w:gridCol w:w="935"/>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940"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35"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940"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35"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940"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35"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940"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35"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940"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35"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940"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35"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940"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35"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940"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35"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940"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35"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940"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35"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940"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35"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940"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35"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lang w:eastAsia="zh-CN"/>
              </w:rPr>
              <w:t>委托第三方企业数量</w:t>
            </w:r>
          </w:p>
        </w:tc>
        <w:tc>
          <w:tcPr>
            <w:tcW w:w="3940"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35"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lang w:eastAsia="zh-CN"/>
              </w:rPr>
              <w:t>以知识产权法为准则保护企业合法权益</w:t>
            </w:r>
          </w:p>
        </w:tc>
        <w:tc>
          <w:tcPr>
            <w:tcW w:w="3940"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35"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lang w:eastAsia="zh-CN"/>
              </w:rPr>
              <w:t>申请“霍城薰衣草”国家地理标志产品及时率</w:t>
            </w:r>
          </w:p>
        </w:tc>
        <w:tc>
          <w:tcPr>
            <w:tcW w:w="3940"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35"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lang w:eastAsia="zh-CN"/>
              </w:rPr>
              <w:t>单个申报项目前期费用</w:t>
            </w:r>
          </w:p>
        </w:tc>
        <w:tc>
          <w:tcPr>
            <w:tcW w:w="3940"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35"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lang w:eastAsia="zh-CN"/>
              </w:rPr>
              <w:t>提高霍城薰衣草品牌知名度</w:t>
            </w:r>
            <w:r>
              <w:rPr>
                <w:rFonts w:hint="eastAsia" w:ascii="宋体" w:hAnsi="宋体" w:cs="宋体"/>
                <w:color w:val="000000"/>
                <w:kern w:val="0"/>
                <w:sz w:val="22"/>
              </w:rPr>
              <w:t>。</w:t>
            </w:r>
          </w:p>
        </w:tc>
        <w:tc>
          <w:tcPr>
            <w:tcW w:w="3940"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lang w:eastAsia="zh-CN"/>
              </w:rPr>
              <w:t>提高霍城薰衣草品牌知名度</w:t>
            </w:r>
            <w:r>
              <w:rPr>
                <w:rFonts w:hint="eastAsia" w:ascii="宋体" w:hAnsi="宋体" w:cs="宋体"/>
                <w:color w:val="000000"/>
                <w:kern w:val="0"/>
                <w:sz w:val="22"/>
              </w:rPr>
              <w:t>。</w:t>
            </w:r>
          </w:p>
        </w:tc>
        <w:tc>
          <w:tcPr>
            <w:tcW w:w="935"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lang w:eastAsia="zh-CN"/>
              </w:rPr>
              <w:t>薰衣草生产企业满意度</w:t>
            </w:r>
          </w:p>
        </w:tc>
        <w:tc>
          <w:tcPr>
            <w:tcW w:w="3940" w:type="dxa"/>
            <w:tcBorders>
              <w:right w:val="single" w:color="auto" w:sz="4" w:space="0"/>
            </w:tcBorders>
            <w:shd w:val="clear" w:color="000000" w:fill="FFFFFF"/>
            <w:vAlign w:val="center"/>
          </w:tcPr>
          <w:p>
            <w:pPr>
              <w:widowControl/>
              <w:spacing w:line="0" w:lineRule="atLeast"/>
              <w:jc w:val="center"/>
              <w:rPr>
                <w:rFonts w:hint="eastAsia" w:ascii="宋体" w:hAnsi="宋体" w:cs="宋体"/>
                <w:color w:val="000000"/>
                <w:kern w:val="0"/>
                <w:sz w:val="22"/>
              </w:rPr>
            </w:pPr>
            <w:r>
              <w:rPr>
                <w:rFonts w:hint="eastAsia" w:ascii="宋体" w:hAnsi="宋体" w:cs="宋体"/>
                <w:color w:val="000000"/>
                <w:kern w:val="0"/>
                <w:sz w:val="22"/>
                <w:lang w:eastAsia="zh-CN"/>
              </w:rPr>
              <w:t>薰衣草生产企业满意度</w:t>
            </w:r>
          </w:p>
        </w:tc>
        <w:tc>
          <w:tcPr>
            <w:tcW w:w="935"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940"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35"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pacing w:line="360" w:lineRule="auto"/>
      </w:pPr>
      <w:r>
        <w:rPr>
          <w:rFonts w:hint="eastAsia"/>
        </w:rPr>
        <w:t>3、评价方法</w:t>
      </w:r>
    </w:p>
    <w:p>
      <w:pPr>
        <w:spacing w:line="360" w:lineRule="auto"/>
        <w:ind w:firstLine="640" w:firstLineChars="200"/>
        <w:rPr>
          <w:rFonts w:hint="eastAsia"/>
          <w:bCs/>
          <w:color w:val="auto"/>
          <w:sz w:val="32"/>
          <w:szCs w:val="32"/>
          <w:lang w:eastAsia="zh-CN"/>
        </w:rPr>
      </w:pPr>
      <w:r>
        <w:rPr>
          <w:rFonts w:hint="eastAsia"/>
          <w:bCs/>
          <w:color w:val="auto"/>
          <w:sz w:val="32"/>
          <w:szCs w:val="32"/>
        </w:rPr>
        <w:t>本项目支出绩效自评采用成本效益分析法方法</w:t>
      </w:r>
      <w:r>
        <w:rPr>
          <w:rFonts w:hint="eastAsia"/>
          <w:bCs/>
          <w:color w:val="auto"/>
          <w:sz w:val="32"/>
          <w:szCs w:val="32"/>
          <w:lang w:eastAsia="zh-CN"/>
        </w:rPr>
        <w:t>，原因：通过成本效益分析的提炼，对项目设立的科学性和严谨性，资金分配的合理性和规范性，政策和项目实施的有效性进行充分剖析，对于该项目，成本效益分析法简便实用、效率较高。</w:t>
      </w:r>
    </w:p>
    <w:p>
      <w:pPr>
        <w:spacing w:line="360" w:lineRule="auto"/>
        <w:ind w:firstLine="640" w:firstLineChars="200"/>
        <w:rPr>
          <w:rFonts w:hint="eastAsia"/>
          <w:bCs/>
          <w:color w:val="auto"/>
          <w:sz w:val="32"/>
          <w:szCs w:val="32"/>
          <w:lang w:eastAsia="zh-CN"/>
        </w:rPr>
      </w:pPr>
      <w:r>
        <w:rPr>
          <w:rFonts w:hint="eastAsia"/>
          <w:bCs/>
          <w:color w:val="auto"/>
          <w:sz w:val="32"/>
          <w:szCs w:val="32"/>
          <w:lang w:eastAsia="zh-CN"/>
        </w:rPr>
        <w:t>4、评价标准</w:t>
      </w:r>
    </w:p>
    <w:p>
      <w:pPr>
        <w:spacing w:line="360" w:lineRule="auto"/>
        <w:ind w:firstLine="640" w:firstLineChars="200"/>
        <w:rPr>
          <w:color w:val="auto"/>
        </w:rPr>
      </w:pPr>
      <w:r>
        <w:rPr>
          <w:rFonts w:hint="eastAsia"/>
          <w:bCs/>
          <w:color w:val="auto"/>
          <w:sz w:val="32"/>
          <w:szCs w:val="32"/>
          <w:lang w:eastAsia="zh-CN"/>
        </w:rPr>
        <w:t>本次项目支出绩效自评采用计划标准，原因：根据</w:t>
      </w:r>
      <w:r>
        <w:rPr>
          <w:rFonts w:hint="eastAsia" w:ascii="仿宋_GB2312"/>
          <w:bCs/>
          <w:color w:val="auto"/>
          <w:sz w:val="32"/>
          <w:szCs w:val="32"/>
        </w:rPr>
        <w:t>霍城薰衣草国家地理标识产品申报</w:t>
      </w:r>
      <w:r>
        <w:rPr>
          <w:rFonts w:hint="eastAsia"/>
          <w:bCs/>
          <w:color w:val="auto"/>
          <w:sz w:val="32"/>
          <w:szCs w:val="32"/>
          <w:lang w:eastAsia="zh-CN"/>
        </w:rPr>
        <w:t>项目资金使用情况的主要内容，通过预先制定的目标、计划、预算等作为评价标准，且指标综合考虑项目立项、预算管理、项目实施等环节，综合项目绩效实际完成目标和实际情况进行评价分析、偏差原因</w:t>
      </w:r>
      <w:r>
        <w:rPr>
          <w:rFonts w:hint="eastAsia"/>
          <w:bCs/>
          <w:color w:val="auto"/>
          <w:sz w:val="32"/>
          <w:szCs w:val="32"/>
        </w:rPr>
        <w:t>因素分析法</w:t>
      </w:r>
      <w:r>
        <w:rPr>
          <w:rFonts w:hint="eastAsia"/>
          <w:bCs/>
          <w:color w:val="auto"/>
          <w:sz w:val="32"/>
          <w:szCs w:val="32"/>
          <w:lang w:eastAsia="zh-CN"/>
        </w:rPr>
        <w:t>。</w:t>
      </w:r>
    </w:p>
    <w:p>
      <w:pPr>
        <w:pStyle w:val="4"/>
        <w:spacing w:line="360" w:lineRule="auto"/>
        <w:rPr>
          <w:rFonts w:ascii="仿宋_GB2312" w:eastAsia="仿宋_GB2312"/>
          <w:b w:val="0"/>
          <w:bCs w:val="0"/>
        </w:rPr>
      </w:pPr>
      <w:bookmarkStart w:id="6" w:name="_Toc68703833"/>
      <w:r>
        <w:rPr>
          <w:rFonts w:hint="eastAsia" w:ascii="仿宋_GB2312" w:eastAsia="仿宋_GB2312"/>
          <w:b w:val="0"/>
          <w:bCs w:val="0"/>
        </w:rPr>
        <w:t>（三）绩效评价工作过程。</w:t>
      </w:r>
      <w:bookmarkEnd w:id="6"/>
    </w:p>
    <w:p>
      <w:pPr>
        <w:spacing w:line="360" w:lineRule="auto"/>
      </w:pPr>
      <w:r>
        <w:rPr>
          <w:rFonts w:hint="eastAsia"/>
        </w:rPr>
        <w:t>1、前期准备：</w:t>
      </w:r>
    </w:p>
    <w:p>
      <w:pPr>
        <w:spacing w:line="360" w:lineRule="auto"/>
        <w:ind w:firstLine="600" w:firstLineChars="200"/>
        <w:rPr>
          <w:color w:val="auto"/>
        </w:rPr>
      </w:pPr>
      <w:r>
        <w:rPr>
          <w:rFonts w:hint="eastAsia"/>
          <w:color w:val="auto"/>
        </w:rPr>
        <w:t>2</w:t>
      </w:r>
      <w:r>
        <w:rPr>
          <w:color w:val="auto"/>
        </w:rPr>
        <w:t>022</w:t>
      </w:r>
      <w:r>
        <w:rPr>
          <w:rFonts w:hint="eastAsia"/>
          <w:color w:val="auto"/>
        </w:rPr>
        <w:t>年</w:t>
      </w:r>
      <w:r>
        <w:rPr>
          <w:rFonts w:hint="eastAsia"/>
          <w:color w:val="auto"/>
          <w:lang w:val="en-US" w:eastAsia="zh-CN"/>
        </w:rPr>
        <w:t>1</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rPr>
          <w:color w:val="auto"/>
        </w:rPr>
      </w:pPr>
      <w:r>
        <w:rPr>
          <w:color w:val="auto"/>
        </w:rPr>
        <w:t>2</w:t>
      </w:r>
      <w:r>
        <w:rPr>
          <w:rFonts w:hint="eastAsia"/>
          <w:color w:val="auto"/>
        </w:rPr>
        <w:t>、组织实施：</w:t>
      </w:r>
    </w:p>
    <w:p>
      <w:pPr>
        <w:spacing w:line="360" w:lineRule="auto"/>
        <w:ind w:firstLine="600" w:firstLineChars="200"/>
        <w:rPr>
          <w:color w:val="auto"/>
        </w:rPr>
      </w:pPr>
      <w:r>
        <w:rPr>
          <w:rFonts w:hint="eastAsia"/>
          <w:color w:val="auto"/>
        </w:rPr>
        <w:t>2</w:t>
      </w:r>
      <w:r>
        <w:rPr>
          <w:color w:val="auto"/>
        </w:rPr>
        <w:t>022</w:t>
      </w:r>
      <w:r>
        <w:rPr>
          <w:rFonts w:hint="eastAsia"/>
          <w:color w:val="auto"/>
        </w:rPr>
        <w:t>年</w:t>
      </w:r>
      <w:r>
        <w:rPr>
          <w:rFonts w:hint="eastAsia"/>
          <w:color w:val="auto"/>
          <w:lang w:val="en-US" w:eastAsia="zh-CN"/>
        </w:rPr>
        <w:t>1</w:t>
      </w:r>
      <w:r>
        <w:rPr>
          <w:rFonts w:hint="eastAsia"/>
          <w:color w:val="auto"/>
        </w:rPr>
        <w:t>月</w:t>
      </w:r>
      <w:r>
        <w:rPr>
          <w:rFonts w:hint="eastAsia"/>
          <w:color w:val="auto"/>
          <w:lang w:val="en-US" w:eastAsia="zh-CN"/>
        </w:rPr>
        <w:t>15</w:t>
      </w:r>
      <w:r>
        <w:rPr>
          <w:rFonts w:hint="eastAsia"/>
          <w:color w:val="auto"/>
        </w:rPr>
        <w:t>日-</w:t>
      </w:r>
      <w:r>
        <w:rPr>
          <w:rFonts w:hint="eastAsia"/>
          <w:color w:val="auto"/>
          <w:lang w:val="en-US" w:eastAsia="zh-CN"/>
        </w:rPr>
        <w:t>2</w:t>
      </w:r>
      <w:r>
        <w:rPr>
          <w:rFonts w:hint="eastAsia"/>
          <w:color w:val="auto"/>
        </w:rPr>
        <w:t>月</w:t>
      </w:r>
      <w:r>
        <w:rPr>
          <w:rFonts w:hint="eastAsia"/>
          <w:color w:val="auto"/>
          <w:lang w:val="en-US" w:eastAsia="zh-CN"/>
        </w:rPr>
        <w:t>15</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r>
        <w:rPr>
          <w:color w:val="auto"/>
        </w:rPr>
        <w:t xml:space="preserve"> </w:t>
      </w:r>
    </w:p>
    <w:p>
      <w:pPr>
        <w:spacing w:line="360" w:lineRule="auto"/>
        <w:rPr>
          <w:color w:val="auto"/>
        </w:rPr>
      </w:pPr>
      <w:r>
        <w:rPr>
          <w:rFonts w:hint="eastAsia"/>
          <w:color w:val="auto"/>
        </w:rPr>
        <w:t>3、分析评价：</w:t>
      </w:r>
    </w:p>
    <w:p>
      <w:pPr>
        <w:spacing w:line="360" w:lineRule="auto"/>
        <w:ind w:firstLine="600" w:firstLineChars="200"/>
        <w:rPr>
          <w:rFonts w:ascii="仿宋_GB2312"/>
          <w:color w:val="auto"/>
        </w:rPr>
      </w:pPr>
      <w:r>
        <w:rPr>
          <w:rFonts w:hint="eastAsia"/>
          <w:color w:val="auto"/>
        </w:rPr>
        <w:t>202</w:t>
      </w:r>
      <w:r>
        <w:rPr>
          <w:color w:val="auto"/>
        </w:rPr>
        <w:t>2</w:t>
      </w:r>
      <w:r>
        <w:rPr>
          <w:rFonts w:hint="eastAsia"/>
          <w:color w:val="auto"/>
        </w:rPr>
        <w:t>年</w:t>
      </w:r>
      <w:r>
        <w:rPr>
          <w:rFonts w:hint="eastAsia"/>
          <w:color w:val="auto"/>
          <w:lang w:val="en-US" w:eastAsia="zh-CN"/>
        </w:rPr>
        <w:t>2</w:t>
      </w:r>
      <w:r>
        <w:rPr>
          <w:rFonts w:hint="eastAsia"/>
          <w:color w:val="auto"/>
        </w:rPr>
        <w:t>月</w:t>
      </w:r>
      <w:r>
        <w:rPr>
          <w:rFonts w:hint="eastAsia"/>
          <w:color w:val="auto"/>
          <w:lang w:val="en-US" w:eastAsia="zh-CN"/>
        </w:rPr>
        <w:t>15</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20</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3"/>
        <w:spacing w:line="360" w:lineRule="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4"/>
        <w:spacing w:line="360" w:lineRule="auto"/>
        <w:rPr>
          <w:rFonts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bCs/>
          <w:color w:val="auto"/>
          <w:sz w:val="32"/>
          <w:szCs w:val="32"/>
        </w:rPr>
        <w:t>成本效益分析法方法</w:t>
      </w:r>
      <w:r>
        <w:rPr>
          <w:rFonts w:hint="eastAsia"/>
          <w:bCs/>
          <w:color w:val="auto"/>
          <w:sz w:val="32"/>
          <w:szCs w:val="32"/>
          <w:lang w:eastAsia="zh-CN"/>
        </w:rPr>
        <w:t>、</w:t>
      </w:r>
      <w:r>
        <w:rPr>
          <w:rFonts w:hint="eastAsia"/>
          <w:bCs/>
          <w:color w:val="auto"/>
          <w:sz w:val="32"/>
          <w:szCs w:val="32"/>
        </w:rPr>
        <w:t>因素分析法</w:t>
      </w:r>
      <w:r>
        <w:rPr>
          <w:rFonts w:hint="eastAsia"/>
          <w:color w:val="auto"/>
        </w:rPr>
        <w:t>，坚持</w:t>
      </w:r>
      <w:r>
        <w:rPr>
          <w:rFonts w:hint="eastAsia"/>
          <w:bCs/>
          <w:color w:val="auto"/>
          <w:sz w:val="32"/>
          <w:szCs w:val="32"/>
        </w:rPr>
        <w:t>计划标准</w:t>
      </w:r>
      <w:r>
        <w:rPr>
          <w:rFonts w:hint="eastAsia"/>
          <w:color w:val="auto"/>
        </w:rPr>
        <w:t>对本项目的立项、项绩效目标、资金投入、资金管理、组织实施、产出数量、产出质量、产出时效、产出成本、项目效益进行了综合评价。</w:t>
      </w:r>
    </w:p>
    <w:p>
      <w:pPr>
        <w:spacing w:line="360" w:lineRule="auto"/>
        <w:ind w:firstLine="640" w:firstLineChars="200"/>
        <w:rPr>
          <w:color w:val="auto"/>
        </w:rPr>
      </w:pPr>
      <w:r>
        <w:rPr>
          <w:rFonts w:hint="eastAsia" w:ascii="仿宋_GB2312"/>
          <w:bCs/>
          <w:color w:val="auto"/>
          <w:sz w:val="32"/>
          <w:szCs w:val="32"/>
        </w:rPr>
        <w:t>“霍城薰衣草”国家地理标识产品申报</w:t>
      </w:r>
      <w:r>
        <w:rPr>
          <w:rFonts w:hint="eastAsia"/>
          <w:color w:val="auto"/>
        </w:rPr>
        <w:t>项目评价得分情况</w:t>
      </w:r>
    </w:p>
    <w:tbl>
      <w:tblPr>
        <w:tblStyle w:val="9"/>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24</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24</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16</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16</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4"/>
        <w:spacing w:line="360" w:lineRule="auto"/>
        <w:rPr>
          <w:rFonts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40" w:firstLineChars="200"/>
        <w:rPr>
          <w:rFonts w:hint="eastAsia" w:eastAsia="仿宋_GB2312"/>
          <w:color w:val="auto"/>
          <w:lang w:eastAsia="zh-CN"/>
        </w:rPr>
      </w:pPr>
      <w:r>
        <w:rPr>
          <w:rFonts w:hint="eastAsia" w:ascii="仿宋_GB2312"/>
          <w:bCs/>
          <w:color w:val="auto"/>
          <w:sz w:val="32"/>
          <w:szCs w:val="32"/>
        </w:rPr>
        <w:t>“霍城薰衣草”国家地理标识产品申报</w:t>
      </w:r>
      <w:r>
        <w:rPr>
          <w:rFonts w:hint="eastAsia"/>
          <w:color w:val="auto"/>
        </w:rPr>
        <w:t>项目决策、项目过程、项目产出、项目效益均达到了预期要求，最终得分为</w:t>
      </w:r>
      <w:r>
        <w:rPr>
          <w:rFonts w:hint="eastAsia"/>
          <w:color w:val="auto"/>
          <w:lang w:val="en-US" w:eastAsia="zh-CN"/>
        </w:rPr>
        <w:t>100</w:t>
      </w:r>
      <w:r>
        <w:rPr>
          <w:rFonts w:hint="eastAsia"/>
          <w:color w:val="auto"/>
        </w:rPr>
        <w:t>分，</w:t>
      </w:r>
      <w:r>
        <w:rPr>
          <w:rFonts w:hint="eastAsia"/>
          <w:color w:val="auto"/>
          <w:lang w:eastAsia="zh-CN"/>
        </w:rPr>
        <w:t>评价等级为优，</w:t>
      </w:r>
      <w:r>
        <w:rPr>
          <w:rFonts w:hint="eastAsia"/>
          <w:color w:val="auto"/>
        </w:rPr>
        <w:t>项目达成年度指标</w:t>
      </w:r>
      <w:r>
        <w:rPr>
          <w:rFonts w:hint="eastAsia"/>
          <w:color w:val="auto"/>
          <w:lang w:eastAsia="zh-CN"/>
        </w:rPr>
        <w:t>。</w:t>
      </w:r>
    </w:p>
    <w:p>
      <w:pPr>
        <w:pStyle w:val="3"/>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4"/>
        <w:spacing w:line="360" w:lineRule="auto"/>
        <w:rPr>
          <w:rFonts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ind w:firstLine="600" w:firstLineChars="200"/>
      </w:pPr>
      <w:r>
        <w:rPr>
          <w:rFonts w:hint="eastAsia"/>
        </w:rPr>
        <w:t>1、立项依据充分性</w:t>
      </w:r>
    </w:p>
    <w:p>
      <w:pPr>
        <w:spacing w:line="360" w:lineRule="auto"/>
        <w:ind w:firstLine="600" w:firstLineChars="200"/>
        <w:rPr>
          <w:rFonts w:hint="eastAsia" w:eastAsia="仿宋_GB2312"/>
          <w:color w:val="auto"/>
          <w:lang w:eastAsia="zh-CN"/>
        </w:rPr>
      </w:pPr>
      <w:r>
        <w:rPr>
          <w:rFonts w:hint="eastAsia"/>
          <w:color w:val="auto"/>
          <w:lang w:eastAsia="zh-CN"/>
        </w:rPr>
        <w:t>本项目</w:t>
      </w:r>
      <w:r>
        <w:rPr>
          <w:rFonts w:hint="eastAsia"/>
          <w:color w:val="auto"/>
        </w:rPr>
        <w:t>立项依据</w:t>
      </w:r>
      <w:r>
        <w:rPr>
          <w:rFonts w:hint="eastAsia"/>
          <w:color w:val="auto"/>
          <w:lang w:eastAsia="zh-CN"/>
        </w:rPr>
        <w:t>是</w:t>
      </w:r>
      <w:r>
        <w:rPr>
          <w:rFonts w:hint="eastAsia"/>
          <w:color w:val="auto"/>
        </w:rPr>
        <w:t>《国家知识产权局办公室关于启动中欧地理标志保护与合作协定第二批清单受理公示准备工作的通知》国知办函保字【2022】374号文</w:t>
      </w:r>
      <w:r>
        <w:rPr>
          <w:rFonts w:hint="eastAsia"/>
          <w:color w:val="auto"/>
          <w:lang w:eastAsia="zh-CN"/>
        </w:rPr>
        <w:t>、</w:t>
      </w:r>
      <w:r>
        <w:rPr>
          <w:rFonts w:hint="eastAsia"/>
          <w:color w:val="auto"/>
        </w:rPr>
        <w:t>霍城县人民政府关于霍城薰衣草地理标志产品保护的请示-霍政发【2022】107号</w:t>
      </w:r>
      <w:r>
        <w:rPr>
          <w:rFonts w:hint="eastAsia"/>
          <w:color w:val="auto"/>
          <w:lang w:eastAsia="zh-CN"/>
        </w:rPr>
        <w:t>、</w:t>
      </w:r>
      <w:r>
        <w:rPr>
          <w:rFonts w:hint="eastAsia"/>
          <w:color w:val="auto"/>
        </w:rPr>
        <w:t>霍城县国民经济和社会发展第十四个五年规划纲要与2035 年远景目标</w:t>
      </w:r>
      <w:r>
        <w:rPr>
          <w:rFonts w:hint="eastAsia"/>
          <w:color w:val="auto"/>
          <w:lang w:eastAsia="zh-CN"/>
        </w:rPr>
        <w:t>等文件，</w:t>
      </w:r>
      <w:r>
        <w:rPr>
          <w:rFonts w:hint="eastAsia"/>
          <w:color w:val="auto"/>
        </w:rPr>
        <w:t>符合国家法律法规、国民经济发展规划和相关政策</w:t>
      </w:r>
      <w:r>
        <w:rPr>
          <w:rFonts w:hint="eastAsia"/>
          <w:color w:val="auto"/>
          <w:lang w:eastAsia="zh-CN"/>
        </w:rPr>
        <w:t>、</w:t>
      </w:r>
      <w:r>
        <w:rPr>
          <w:rFonts w:hint="eastAsia"/>
          <w:color w:val="auto"/>
        </w:rPr>
        <w:t>符合行业发展规划和政策要求</w:t>
      </w:r>
      <w:r>
        <w:rPr>
          <w:rFonts w:hint="eastAsia"/>
          <w:color w:val="auto"/>
          <w:lang w:eastAsia="zh-CN"/>
        </w:rPr>
        <w:t>。</w:t>
      </w:r>
    </w:p>
    <w:p>
      <w:pPr>
        <w:spacing w:line="360" w:lineRule="auto"/>
        <w:ind w:firstLine="600" w:firstLineChars="200"/>
      </w:pPr>
      <w:r>
        <w:rPr>
          <w:rFonts w:hint="eastAsia"/>
        </w:rPr>
        <w:t>2、立项程序规范性</w:t>
      </w:r>
    </w:p>
    <w:p>
      <w:pPr>
        <w:spacing w:line="360" w:lineRule="auto"/>
        <w:ind w:firstLine="600" w:firstLineChars="200"/>
        <w:rPr>
          <w:rFonts w:hint="eastAsia"/>
          <w:color w:val="auto"/>
        </w:rPr>
      </w:pPr>
      <w:r>
        <w:rPr>
          <w:rFonts w:hint="eastAsia"/>
          <w:color w:val="auto"/>
          <w:lang w:eastAsia="zh-CN"/>
        </w:rPr>
        <w:t>该</w:t>
      </w:r>
      <w:r>
        <w:rPr>
          <w:rFonts w:hint="eastAsia"/>
          <w:color w:val="auto"/>
        </w:rPr>
        <w:t>项目按照规定的程序申请设立；审批文件、材料符合相关要求；事前已经过必要的可行性研究、专家论证、风险评估、绩效评估、集体决策。</w:t>
      </w:r>
    </w:p>
    <w:p>
      <w:pPr>
        <w:spacing w:line="360" w:lineRule="auto"/>
        <w:ind w:firstLine="600" w:firstLineChars="200"/>
        <w:rPr>
          <w:rFonts w:hint="eastAsia"/>
          <w:color w:val="auto"/>
        </w:rPr>
      </w:pPr>
      <w:r>
        <w:rPr>
          <w:rFonts w:hint="eastAsia"/>
          <w:color w:val="auto"/>
        </w:rPr>
        <w:t>3、绩效目标合理性</w:t>
      </w:r>
    </w:p>
    <w:p>
      <w:pPr>
        <w:numPr>
          <w:ilvl w:val="0"/>
          <w:numId w:val="0"/>
        </w:numPr>
        <w:spacing w:line="360" w:lineRule="auto"/>
        <w:ind w:firstLine="320" w:firstLineChars="100"/>
        <w:rPr>
          <w:rFonts w:hint="eastAsia"/>
          <w:color w:val="auto"/>
        </w:rPr>
      </w:pPr>
      <w:r>
        <w:rPr>
          <w:rFonts w:hint="eastAsia" w:ascii="仿宋_GB2312"/>
          <w:bCs/>
          <w:color w:val="auto"/>
          <w:sz w:val="32"/>
          <w:szCs w:val="32"/>
        </w:rPr>
        <w:t>“霍城薰衣草”国家地理标识产品申报</w:t>
      </w:r>
      <w:r>
        <w:rPr>
          <w:rFonts w:hint="eastAsia"/>
          <w:color w:val="auto"/>
        </w:rPr>
        <w:t>项目设立</w:t>
      </w:r>
      <w:r>
        <w:rPr>
          <w:rFonts w:hint="eastAsia"/>
          <w:color w:val="auto"/>
          <w:lang w:eastAsia="zh-CN"/>
        </w:rPr>
        <w:t>的</w:t>
      </w:r>
      <w:r>
        <w:rPr>
          <w:rFonts w:hint="eastAsia"/>
          <w:color w:val="auto"/>
        </w:rPr>
        <w:t>项目绩效目标，与保障</w:t>
      </w:r>
      <w:r>
        <w:rPr>
          <w:rFonts w:hint="eastAsia" w:ascii="Times New Roman" w:hAnsi="Times New Roman" w:cs="Times New Roman"/>
          <w:b w:val="0"/>
          <w:bCs w:val="0"/>
          <w:color w:val="auto"/>
        </w:rPr>
        <w:t>向国家知识产权局申请对霍城薰衣草国家地理标志产品进行保护</w:t>
      </w:r>
      <w:r>
        <w:rPr>
          <w:rFonts w:hint="eastAsia" w:cs="Times New Roman"/>
          <w:b w:val="0"/>
          <w:bCs w:val="0"/>
          <w:color w:val="auto"/>
          <w:lang w:eastAsia="zh-CN"/>
        </w:rPr>
        <w:t>工作顺利进行</w:t>
      </w:r>
      <w:r>
        <w:rPr>
          <w:rFonts w:hint="eastAsia"/>
          <w:color w:val="auto"/>
        </w:rPr>
        <w:t>，</w:t>
      </w:r>
      <w:r>
        <w:rPr>
          <w:rFonts w:hint="eastAsia"/>
          <w:color w:val="auto"/>
          <w:lang w:eastAsia="zh-CN"/>
        </w:rPr>
        <w:t>及</w:t>
      </w:r>
      <w:r>
        <w:rPr>
          <w:rFonts w:hint="eastAsia" w:cs="Times New Roman"/>
          <w:b w:val="0"/>
          <w:bCs w:val="0"/>
          <w:color w:val="auto"/>
          <w:lang w:eastAsia="zh-CN"/>
        </w:rPr>
        <w:t>知识产权法为准则保护企业合法权益</w:t>
      </w:r>
      <w:r>
        <w:rPr>
          <w:rFonts w:hint="eastAsia"/>
          <w:color w:val="auto"/>
        </w:rPr>
        <w:t>及</w:t>
      </w:r>
      <w:r>
        <w:rPr>
          <w:rFonts w:hint="eastAsia"/>
          <w:color w:val="auto"/>
          <w:lang w:eastAsia="zh-CN"/>
        </w:rPr>
        <w:t>等</w:t>
      </w:r>
      <w:r>
        <w:rPr>
          <w:rFonts w:hint="eastAsia"/>
          <w:color w:val="auto"/>
        </w:rPr>
        <w:t>工作成效具有相关性，项目的预期产出效益和效果也均能符合正常的业绩水平，并且与预算确定的项目投资额或资金量相匹配。</w:t>
      </w:r>
    </w:p>
    <w:p>
      <w:pPr>
        <w:spacing w:line="360" w:lineRule="auto"/>
        <w:ind w:firstLine="600" w:firstLineChars="200"/>
      </w:pPr>
      <w:r>
        <w:rPr>
          <w:rFonts w:hint="eastAsia"/>
        </w:rPr>
        <w:t>4、绩效指标明确性</w:t>
      </w:r>
    </w:p>
    <w:p>
      <w:pPr>
        <w:spacing w:line="360" w:lineRule="auto"/>
        <w:ind w:firstLine="600" w:firstLineChars="200"/>
        <w:rPr>
          <w:rFonts w:hint="eastAsia"/>
        </w:rPr>
      </w:pPr>
      <w:r>
        <w:rPr>
          <w:rFonts w:hint="eastAsia"/>
          <w:color w:val="auto"/>
        </w:rPr>
        <w:t>“霍城薰衣草”国家地理标识产品申报项目将项目绩效目标细化分解为具体的绩效指标，一级指标共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6</w:t>
      </w:r>
      <w:r>
        <w:rPr>
          <w:rFonts w:hint="eastAsia"/>
          <w:color w:val="auto"/>
        </w:rPr>
        <w:t>条，三级指标共</w:t>
      </w:r>
      <w:r>
        <w:rPr>
          <w:rFonts w:hint="eastAsia"/>
          <w:color w:val="auto"/>
          <w:lang w:val="en-US" w:eastAsia="zh-CN"/>
        </w:rPr>
        <w:t>7</w:t>
      </w:r>
      <w:r>
        <w:rPr>
          <w:rFonts w:hint="eastAsia"/>
          <w:color w:val="auto"/>
        </w:rPr>
        <w:t>条，其中量化指标条数共</w:t>
      </w:r>
      <w:r>
        <w:rPr>
          <w:rFonts w:hint="eastAsia"/>
          <w:color w:val="auto"/>
          <w:lang w:val="en-US" w:eastAsia="zh-CN"/>
        </w:rPr>
        <w:t>6</w:t>
      </w:r>
      <w:r>
        <w:rPr>
          <w:rFonts w:hint="eastAsia"/>
          <w:color w:val="auto"/>
        </w:rPr>
        <w:t>条，所有绩效指标均通过清晰、可衡量的指标值予以体现，并且做到了与项目目标任务数或计划数相对应。</w:t>
      </w:r>
    </w:p>
    <w:p>
      <w:pPr>
        <w:spacing w:line="360" w:lineRule="auto"/>
        <w:ind w:firstLine="600" w:firstLineChars="200"/>
        <w:rPr>
          <w:rFonts w:hint="eastAsia"/>
          <w:color w:val="auto"/>
        </w:rPr>
      </w:pPr>
      <w:r>
        <w:rPr>
          <w:rFonts w:hint="eastAsia"/>
          <w:color w:val="auto"/>
        </w:rPr>
        <w:t>5、预算编制科学性</w:t>
      </w:r>
    </w:p>
    <w:p>
      <w:pPr>
        <w:spacing w:line="360" w:lineRule="auto"/>
        <w:ind w:firstLine="600" w:firstLineChars="200"/>
        <w:rPr>
          <w:rFonts w:hint="eastAsia"/>
          <w:color w:val="auto"/>
        </w:rPr>
      </w:pPr>
      <w:r>
        <w:rPr>
          <w:rFonts w:hint="eastAsia"/>
          <w:color w:val="auto"/>
          <w:lang w:eastAsia="zh-CN"/>
        </w:rPr>
        <w:t>项目</w:t>
      </w:r>
      <w:r>
        <w:rPr>
          <w:rFonts w:hint="eastAsia"/>
          <w:color w:val="auto"/>
        </w:rPr>
        <w:t>预算编制经过科学论证；预算内容与项目</w:t>
      </w:r>
      <w:r>
        <w:rPr>
          <w:rFonts w:hint="eastAsia"/>
          <w:color w:val="auto"/>
          <w:lang w:eastAsia="zh-CN"/>
        </w:rPr>
        <w:t>申报</w:t>
      </w:r>
      <w:r>
        <w:rPr>
          <w:rFonts w:hint="eastAsia"/>
          <w:color w:val="auto"/>
        </w:rPr>
        <w:t>内容匹配；预算额度测算依据充分，按照标准编制；预算确定的项目投资额或资金量与工作任务相匹配。</w:t>
      </w:r>
    </w:p>
    <w:p>
      <w:pPr>
        <w:spacing w:line="360" w:lineRule="auto"/>
        <w:ind w:firstLine="600" w:firstLineChars="200"/>
        <w:rPr>
          <w:rFonts w:hint="eastAsia"/>
          <w:color w:val="auto"/>
        </w:rPr>
      </w:pPr>
      <w:r>
        <w:rPr>
          <w:rFonts w:hint="eastAsia"/>
          <w:color w:val="auto"/>
        </w:rPr>
        <w:t>6、资金分配合理性</w:t>
      </w:r>
    </w:p>
    <w:p>
      <w:pPr>
        <w:spacing w:line="360" w:lineRule="auto"/>
        <w:ind w:firstLine="600" w:firstLineChars="200"/>
        <w:rPr>
          <w:color w:val="auto"/>
        </w:rPr>
      </w:pPr>
      <w:r>
        <w:rPr>
          <w:rFonts w:hint="eastAsia"/>
          <w:color w:val="auto"/>
          <w:lang w:eastAsia="zh-CN"/>
        </w:rPr>
        <w:t>该项目</w:t>
      </w:r>
      <w:r>
        <w:rPr>
          <w:rFonts w:hint="eastAsia"/>
          <w:color w:val="auto"/>
        </w:rPr>
        <w:t>预算资金分配依据充分；资金分配额度合理，与</w:t>
      </w:r>
      <w:r>
        <w:rPr>
          <w:rFonts w:hint="eastAsia"/>
          <w:color w:val="auto"/>
          <w:lang w:eastAsia="zh-CN"/>
        </w:rPr>
        <w:t>我单位的</w:t>
      </w:r>
      <w:r>
        <w:rPr>
          <w:rFonts w:hint="eastAsia"/>
          <w:color w:val="auto"/>
        </w:rPr>
        <w:t>实际相适应</w:t>
      </w:r>
      <w:r>
        <w:rPr>
          <w:rFonts w:hint="eastAsia"/>
          <w:color w:val="auto"/>
          <w:lang w:eastAsia="zh-CN"/>
        </w:rPr>
        <w:t>。</w:t>
      </w:r>
    </w:p>
    <w:p>
      <w:pPr>
        <w:pStyle w:val="4"/>
        <w:spacing w:line="360" w:lineRule="auto"/>
        <w:rPr>
          <w:rFonts w:ascii="仿宋_GB2312" w:eastAsia="仿宋_GB2312"/>
          <w:b w:val="0"/>
          <w:bCs w:val="0"/>
        </w:rPr>
      </w:pPr>
      <w:bookmarkStart w:id="12" w:name="_Toc68703839"/>
      <w:r>
        <w:rPr>
          <w:rFonts w:hint="eastAsia" w:ascii="仿宋_GB2312" w:eastAsia="仿宋_GB2312"/>
          <w:b w:val="0"/>
          <w:bCs w:val="0"/>
        </w:rPr>
        <w:t>（二）项目过程情况。</w:t>
      </w:r>
      <w:bookmarkEnd w:id="12"/>
    </w:p>
    <w:p>
      <w:pPr>
        <w:spacing w:line="360" w:lineRule="auto"/>
      </w:pPr>
      <w:r>
        <w:rPr>
          <w:rFonts w:hint="eastAsia"/>
        </w:rPr>
        <w:t>1、资金到位率：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7.5</w:t>
      </w:r>
      <w:r>
        <w:rPr>
          <w:rFonts w:hint="eastAsia"/>
          <w:color w:val="auto"/>
        </w:rPr>
        <w:t>万元，实际到位资金</w:t>
      </w:r>
      <w:r>
        <w:rPr>
          <w:rFonts w:hint="eastAsia"/>
          <w:color w:val="auto"/>
          <w:lang w:val="en-US" w:eastAsia="zh-CN"/>
        </w:rPr>
        <w:t>7.5</w:t>
      </w:r>
      <w:r>
        <w:rPr>
          <w:rFonts w:hint="eastAsia"/>
          <w:color w:val="auto"/>
        </w:rPr>
        <w:t>万元，资金到位率</w:t>
      </w:r>
      <w:r>
        <w:rPr>
          <w:rFonts w:hint="eastAsia"/>
          <w:color w:val="auto"/>
          <w:lang w:val="en-US" w:eastAsia="zh-CN"/>
        </w:rPr>
        <w:t>100</w:t>
      </w:r>
      <w:r>
        <w:rPr>
          <w:rFonts w:hint="eastAsia"/>
          <w:color w:val="auto"/>
        </w:rPr>
        <w:t>%。</w:t>
      </w:r>
    </w:p>
    <w:p>
      <w:pPr>
        <w:spacing w:line="360" w:lineRule="auto"/>
      </w:pPr>
      <w:r>
        <w:rPr>
          <w:rFonts w:hint="eastAsia"/>
        </w:rPr>
        <w:t>2、预算执行率</w:t>
      </w:r>
    </w:p>
    <w:p>
      <w:pPr>
        <w:spacing w:line="360" w:lineRule="auto"/>
        <w:ind w:firstLine="600" w:firstLineChars="200"/>
        <w:rPr>
          <w:rFonts w:hint="eastAsia" w:eastAsia="仿宋_GB2312"/>
          <w:color w:val="auto"/>
          <w:lang w:eastAsia="zh-CN"/>
        </w:rPr>
      </w:pPr>
      <w:r>
        <w:rPr>
          <w:rFonts w:hint="eastAsia"/>
          <w:color w:val="auto"/>
        </w:rPr>
        <w:t>年初预算数</w:t>
      </w:r>
      <w:r>
        <w:rPr>
          <w:rFonts w:hint="eastAsia"/>
          <w:color w:val="auto"/>
          <w:lang w:val="en-US" w:eastAsia="zh-CN"/>
        </w:rPr>
        <w:t>0</w:t>
      </w:r>
      <w:r>
        <w:rPr>
          <w:rFonts w:hint="eastAsia"/>
          <w:color w:val="auto"/>
        </w:rPr>
        <w:t>万元，全年预算数</w:t>
      </w:r>
      <w:r>
        <w:rPr>
          <w:rFonts w:hint="eastAsia"/>
          <w:color w:val="auto"/>
          <w:lang w:val="en-US" w:eastAsia="zh-CN"/>
        </w:rPr>
        <w:t>7.5</w:t>
      </w:r>
      <w:r>
        <w:rPr>
          <w:rFonts w:hint="eastAsia"/>
          <w:color w:val="auto"/>
        </w:rPr>
        <w:t>万元，全年执行数</w:t>
      </w:r>
      <w:r>
        <w:rPr>
          <w:rFonts w:hint="eastAsia"/>
          <w:color w:val="auto"/>
          <w:lang w:val="en-US" w:eastAsia="zh-CN"/>
        </w:rPr>
        <w:t>7.5</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lang w:eastAsia="zh-CN"/>
        </w:rPr>
        <w:t>。</w:t>
      </w:r>
    </w:p>
    <w:p>
      <w:pPr>
        <w:spacing w:line="360" w:lineRule="auto"/>
      </w:pPr>
      <w:r>
        <w:rPr>
          <w:rFonts w:hint="eastAsia"/>
        </w:rPr>
        <w:t>3、资金使用合规性</w:t>
      </w:r>
    </w:p>
    <w:p>
      <w:pPr>
        <w:spacing w:line="360" w:lineRule="auto"/>
        <w:ind w:firstLine="300" w:firstLineChars="100"/>
        <w:rPr>
          <w:color w:val="FF0000"/>
        </w:rPr>
      </w:pPr>
      <w:r>
        <w:rPr>
          <w:rFonts w:hint="eastAsia"/>
          <w:color w:val="auto"/>
          <w:lang w:eastAsia="zh-CN"/>
        </w:rPr>
        <w:t>项目资金资金使用</w:t>
      </w:r>
      <w:r>
        <w:rPr>
          <w:rFonts w:hint="eastAsia"/>
          <w:color w:val="auto"/>
        </w:rPr>
        <w:t>符合国家财经法规和财务管理制度以及有关专项资金管理办法的规定；</w:t>
      </w:r>
      <w:r>
        <w:rPr>
          <w:rFonts w:hint="eastAsia"/>
          <w:color w:val="auto"/>
          <w:lang w:eastAsia="zh-CN"/>
        </w:rPr>
        <w:t>支付</w:t>
      </w:r>
      <w:r>
        <w:rPr>
          <w:rFonts w:hint="eastAsia"/>
          <w:color w:val="auto"/>
        </w:rPr>
        <w:t>资金</w:t>
      </w:r>
      <w:r>
        <w:rPr>
          <w:rFonts w:hint="eastAsia"/>
          <w:color w:val="auto"/>
          <w:lang w:eastAsia="zh-CN"/>
        </w:rPr>
        <w:t>前以上会研究，并</w:t>
      </w:r>
      <w:r>
        <w:rPr>
          <w:rFonts w:hint="eastAsia"/>
          <w:color w:val="auto"/>
        </w:rPr>
        <w:t>拨付有完整的审批程序和手续；</w:t>
      </w:r>
      <w:r>
        <w:rPr>
          <w:rFonts w:hint="eastAsia"/>
          <w:color w:val="auto"/>
          <w:lang w:eastAsia="zh-CN"/>
        </w:rPr>
        <w:t>资金使用通过国库集中支付</w:t>
      </w:r>
      <w:r>
        <w:rPr>
          <w:rFonts w:hint="eastAsia"/>
          <w:color w:val="auto"/>
        </w:rPr>
        <w:t>符合项目预算批复或合同规定的用途；</w:t>
      </w:r>
      <w:r>
        <w:rPr>
          <w:rFonts w:hint="eastAsia"/>
          <w:color w:val="auto"/>
          <w:lang w:eastAsia="zh-CN"/>
        </w:rPr>
        <w:t>资金使用没有</w:t>
      </w:r>
      <w:r>
        <w:rPr>
          <w:rFonts w:hint="eastAsia"/>
          <w:color w:val="auto"/>
        </w:rPr>
        <w:t>截留、挤占、挪用、虚列支出等情况。</w:t>
      </w:r>
    </w:p>
    <w:p>
      <w:pPr>
        <w:spacing w:line="360" w:lineRule="auto"/>
      </w:pPr>
      <w:r>
        <w:rPr>
          <w:rFonts w:hint="eastAsia"/>
        </w:rPr>
        <w:t>4、管理制度健全性</w:t>
      </w:r>
    </w:p>
    <w:p>
      <w:pPr>
        <w:spacing w:line="360" w:lineRule="auto"/>
        <w:ind w:firstLine="300" w:firstLineChars="100"/>
        <w:rPr>
          <w:color w:val="auto"/>
        </w:rPr>
      </w:pPr>
      <w:r>
        <w:rPr>
          <w:rFonts w:hint="eastAsia"/>
          <w:color w:val="auto"/>
          <w:lang w:eastAsia="zh-CN"/>
        </w:rPr>
        <w:t>我单位</w:t>
      </w:r>
      <w:r>
        <w:rPr>
          <w:rFonts w:hint="eastAsia"/>
          <w:color w:val="auto"/>
        </w:rPr>
        <w:t>具有相应的财务和业务管理制度</w:t>
      </w:r>
      <w:r>
        <w:rPr>
          <w:rFonts w:hint="eastAsia"/>
          <w:color w:val="auto"/>
          <w:lang w:eastAsia="zh-CN"/>
        </w:rPr>
        <w:t>，适用行政事业单位</w:t>
      </w:r>
      <w:r>
        <w:rPr>
          <w:rFonts w:hint="eastAsia"/>
          <w:color w:val="auto"/>
        </w:rPr>
        <w:t>财务</w:t>
      </w:r>
      <w:r>
        <w:rPr>
          <w:rFonts w:hint="eastAsia"/>
          <w:color w:val="auto"/>
          <w:lang w:eastAsia="zh-CN"/>
        </w:rPr>
        <w:t>制度</w:t>
      </w:r>
      <w:r>
        <w:rPr>
          <w:rFonts w:hint="eastAsia"/>
          <w:color w:val="auto"/>
        </w:rPr>
        <w:t>和</w:t>
      </w:r>
      <w:r>
        <w:rPr>
          <w:rFonts w:hint="eastAsia"/>
          <w:color w:val="auto"/>
          <w:lang w:eastAsia="zh-CN"/>
        </w:rPr>
        <w:t>其他</w:t>
      </w:r>
      <w:r>
        <w:rPr>
          <w:rFonts w:hint="eastAsia"/>
          <w:color w:val="auto"/>
        </w:rPr>
        <w:t>业务管理制度</w:t>
      </w:r>
      <w:r>
        <w:rPr>
          <w:rFonts w:hint="eastAsia"/>
          <w:color w:val="auto"/>
          <w:lang w:eastAsia="zh-CN"/>
        </w:rPr>
        <w:t>，并且</w:t>
      </w:r>
      <w:r>
        <w:rPr>
          <w:rFonts w:hint="eastAsia"/>
          <w:color w:val="auto"/>
        </w:rPr>
        <w:t>合法、合规、完整。</w:t>
      </w:r>
    </w:p>
    <w:p>
      <w:pPr>
        <w:spacing w:line="360" w:lineRule="auto"/>
        <w:rPr>
          <w:color w:val="auto"/>
        </w:rPr>
      </w:pPr>
      <w:r>
        <w:rPr>
          <w:rFonts w:hint="eastAsia"/>
          <w:color w:val="auto"/>
        </w:rPr>
        <w:t>5、制度执行有效性</w:t>
      </w:r>
    </w:p>
    <w:p>
      <w:pPr>
        <w:spacing w:line="360" w:lineRule="auto"/>
        <w:ind w:firstLine="300" w:firstLineChars="100"/>
        <w:rPr>
          <w:rFonts w:hint="eastAsia" w:eastAsia="仿宋_GB2312"/>
          <w:color w:val="auto"/>
          <w:lang w:eastAsia="zh-CN"/>
        </w:rPr>
      </w:pPr>
      <w:r>
        <w:rPr>
          <w:rFonts w:hint="eastAsia"/>
          <w:color w:val="auto"/>
          <w:lang w:eastAsia="zh-CN"/>
        </w:rPr>
        <w:t>我单位遵守相关法律法规和相关管理规定；项目调整及支出调整手续完备；项目合同书、验收报告、等资料齐全并及时归档；项目实施的人员条件、信息支撑等落实到位。</w:t>
      </w:r>
    </w:p>
    <w:p>
      <w:pPr>
        <w:pStyle w:val="4"/>
        <w:spacing w:line="360" w:lineRule="auto"/>
        <w:rPr>
          <w:rFonts w:ascii="仿宋_GB2312" w:eastAsia="仿宋_GB2312"/>
          <w:b w:val="0"/>
          <w:bCs w:val="0"/>
        </w:rPr>
      </w:pPr>
      <w:bookmarkStart w:id="13" w:name="_Toc68703840"/>
      <w:r>
        <w:rPr>
          <w:rFonts w:hint="eastAsia" w:ascii="仿宋_GB2312" w:eastAsia="仿宋_GB2312"/>
          <w:b w:val="0"/>
          <w:bCs w:val="0"/>
        </w:rPr>
        <w:t>（三）项目产出情况。</w:t>
      </w:r>
      <w:bookmarkEnd w:id="13"/>
    </w:p>
    <w:p>
      <w:pPr>
        <w:numPr>
          <w:ilvl w:val="0"/>
          <w:numId w:val="1"/>
        </w:numPr>
        <w:spacing w:line="360" w:lineRule="auto"/>
        <w:ind w:firstLine="600" w:firstLineChars="200"/>
        <w:rPr>
          <w:color w:val="auto"/>
        </w:rPr>
      </w:pPr>
      <w:r>
        <w:rPr>
          <w:rFonts w:hint="eastAsia"/>
          <w:color w:val="auto"/>
        </w:rPr>
        <w:t>数量指标：指标1：</w:t>
      </w:r>
      <w:r>
        <w:rPr>
          <w:rFonts w:hint="eastAsia"/>
          <w:color w:val="auto"/>
          <w:lang w:eastAsia="zh-CN"/>
        </w:rPr>
        <w:t>委托第三方企业数量</w:t>
      </w:r>
      <w:r>
        <w:rPr>
          <w:color w:val="auto"/>
        </w:rPr>
        <w:t xml:space="preserve"> </w:t>
      </w:r>
      <w:r>
        <w:rPr>
          <w:rFonts w:hint="eastAsia"/>
          <w:color w:val="auto"/>
        </w:rPr>
        <w:t>，指标值：</w:t>
      </w:r>
      <w:r>
        <w:rPr>
          <w:rFonts w:hint="eastAsia"/>
          <w:color w:val="auto"/>
          <w:lang w:val="en-US" w:eastAsia="zh-CN"/>
        </w:rPr>
        <w:t>=</w:t>
      </w:r>
      <w:r>
        <w:rPr>
          <w:rFonts w:hint="eastAsia"/>
          <w:color w:val="auto"/>
        </w:rPr>
        <w:t xml:space="preserve"> </w:t>
      </w:r>
      <w:r>
        <w:rPr>
          <w:rFonts w:hint="eastAsia"/>
          <w:color w:val="auto"/>
          <w:lang w:val="en-US" w:eastAsia="zh-CN"/>
        </w:rPr>
        <w:t>1家</w:t>
      </w:r>
      <w:r>
        <w:rPr>
          <w:color w:val="auto"/>
        </w:rPr>
        <w:t xml:space="preserve">   </w:t>
      </w:r>
      <w:r>
        <w:rPr>
          <w:rFonts w:hint="eastAsia"/>
          <w:color w:val="auto"/>
        </w:rPr>
        <w:t>，实际完成值</w:t>
      </w:r>
      <w:r>
        <w:rPr>
          <w:rFonts w:hint="eastAsia"/>
          <w:color w:val="auto"/>
          <w:lang w:val="en-US" w:eastAsia="zh-CN"/>
        </w:rPr>
        <w:t>=1家</w:t>
      </w:r>
      <w:r>
        <w:rPr>
          <w:color w:val="auto"/>
        </w:rPr>
        <w:t xml:space="preserve"> </w:t>
      </w:r>
      <w:r>
        <w:rPr>
          <w:rFonts w:hint="eastAsia"/>
          <w:color w:val="auto"/>
        </w:rPr>
        <w:t>，指标完成率</w:t>
      </w:r>
      <w:r>
        <w:rPr>
          <w:rFonts w:hint="eastAsia"/>
          <w:color w:val="auto"/>
          <w:lang w:val="en-US" w:eastAsia="zh-CN"/>
        </w:rPr>
        <w:t>100</w:t>
      </w:r>
      <w:r>
        <w:rPr>
          <w:color w:val="auto"/>
        </w:rPr>
        <w:t xml:space="preserve"> </w:t>
      </w:r>
      <w:r>
        <w:rPr>
          <w:rFonts w:hint="eastAsia"/>
          <w:color w:val="auto"/>
        </w:rPr>
        <w:t>%</w:t>
      </w:r>
      <w:r>
        <w:rPr>
          <w:rFonts w:hint="eastAsia"/>
          <w:color w:val="auto"/>
          <w:lang w:eastAsia="zh-CN"/>
        </w:rPr>
        <w:t>；</w:t>
      </w:r>
    </w:p>
    <w:p>
      <w:pPr>
        <w:numPr>
          <w:ilvl w:val="0"/>
          <w:numId w:val="1"/>
        </w:numPr>
        <w:spacing w:line="360" w:lineRule="auto"/>
        <w:ind w:left="0" w:leftChars="0" w:firstLine="600" w:firstLineChars="200"/>
        <w:rPr>
          <w:rFonts w:hint="eastAsia"/>
          <w:color w:val="auto"/>
        </w:rPr>
      </w:pPr>
      <w:r>
        <w:rPr>
          <w:rFonts w:hint="eastAsia"/>
          <w:color w:val="auto"/>
        </w:rPr>
        <w:t>质量指标：指标1：以知识产权法为准则保护企业合法权益，指标值：</w:t>
      </w:r>
      <w:r>
        <w:rPr>
          <w:rFonts w:hint="eastAsia"/>
          <w:color w:val="auto"/>
          <w:lang w:val="en-US" w:eastAsia="zh-CN"/>
        </w:rPr>
        <w:t>=100</w:t>
      </w:r>
      <w:r>
        <w:rPr>
          <w:color w:val="auto"/>
        </w:rPr>
        <w:t xml:space="preserve"> </w:t>
      </w:r>
      <w:r>
        <w:rPr>
          <w:rFonts w:hint="eastAsia"/>
          <w:color w:val="auto"/>
        </w:rPr>
        <w:t>%，实际完成值</w:t>
      </w:r>
      <w:r>
        <w:rPr>
          <w:rFonts w:hint="eastAsia"/>
          <w:color w:val="auto"/>
          <w:lang w:val="en-US" w:eastAsia="zh-CN"/>
        </w:rPr>
        <w:t>=100</w:t>
      </w:r>
      <w:r>
        <w:rPr>
          <w:color w:val="auto"/>
        </w:rPr>
        <w:t xml:space="preserve"> </w:t>
      </w:r>
      <w:r>
        <w:rPr>
          <w:rFonts w:hint="eastAsia"/>
          <w:color w:val="auto"/>
        </w:rPr>
        <w:t>%</w:t>
      </w:r>
      <w:r>
        <w:rPr>
          <w:color w:val="auto"/>
        </w:rPr>
        <w:t xml:space="preserve"> </w:t>
      </w:r>
      <w:r>
        <w:rPr>
          <w:rFonts w:hint="eastAsia"/>
          <w:color w:val="auto"/>
        </w:rPr>
        <w:t>，指标完成率</w:t>
      </w:r>
      <w:r>
        <w:rPr>
          <w:rFonts w:hint="eastAsia"/>
          <w:color w:val="auto"/>
          <w:lang w:val="en-US" w:eastAsia="zh-CN"/>
        </w:rPr>
        <w:t>100</w:t>
      </w:r>
      <w:r>
        <w:rPr>
          <w:color w:val="auto"/>
        </w:rPr>
        <w:t xml:space="preserve"> </w:t>
      </w:r>
      <w:r>
        <w:rPr>
          <w:rFonts w:hint="eastAsia"/>
          <w:color w:val="auto"/>
        </w:rPr>
        <w:t>%</w:t>
      </w:r>
      <w:r>
        <w:rPr>
          <w:rFonts w:hint="eastAsia"/>
          <w:color w:val="auto"/>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jc w:val="left"/>
        <w:textAlignment w:val="auto"/>
        <w:rPr>
          <w:rFonts w:hint="eastAsia" w:eastAsia="仿宋_GB2312"/>
          <w:color w:val="auto"/>
          <w:lang w:eastAsia="zh-CN"/>
        </w:rPr>
      </w:pPr>
      <w:r>
        <w:rPr>
          <w:rFonts w:hint="eastAsia"/>
          <w:color w:val="auto"/>
        </w:rPr>
        <w:t>3、时效指标：指标1：申请“霍城县薰衣草”国家地理标志产品及时率，指标值：</w:t>
      </w:r>
      <w:r>
        <w:rPr>
          <w:rFonts w:hint="eastAsia"/>
          <w:color w:val="auto"/>
          <w:lang w:val="en-US" w:eastAsia="zh-CN"/>
        </w:rPr>
        <w:t>=100</w:t>
      </w:r>
      <w:r>
        <w:rPr>
          <w:rFonts w:hint="eastAsia"/>
          <w:color w:val="auto"/>
        </w:rPr>
        <w:t xml:space="preserve"> %，实际完成值</w:t>
      </w:r>
      <w:r>
        <w:rPr>
          <w:rFonts w:hint="eastAsia"/>
          <w:color w:val="auto"/>
          <w:lang w:val="en-US" w:eastAsia="zh-CN"/>
        </w:rPr>
        <w:t>=100</w:t>
      </w:r>
      <w:r>
        <w:rPr>
          <w:rFonts w:hint="eastAsia"/>
          <w:color w:val="auto"/>
        </w:rPr>
        <w:t xml:space="preserve"> % ，指标完成率</w:t>
      </w:r>
      <w:r>
        <w:rPr>
          <w:rFonts w:hint="eastAsia"/>
          <w:color w:val="auto"/>
          <w:lang w:val="en-US" w:eastAsia="zh-CN"/>
        </w:rPr>
        <w:t>100</w:t>
      </w:r>
      <w:r>
        <w:rPr>
          <w:rFonts w:hint="eastAsia"/>
          <w:color w:val="auto"/>
        </w:rPr>
        <w:t xml:space="preserve"> %</w:t>
      </w:r>
      <w:r>
        <w:rPr>
          <w:rFonts w:hint="eastAsia"/>
          <w:color w:val="auto"/>
          <w:lang w:eastAsia="zh-CN"/>
        </w:rPr>
        <w:t>；</w:t>
      </w:r>
    </w:p>
    <w:p>
      <w:pPr>
        <w:spacing w:line="360" w:lineRule="auto"/>
        <w:ind w:firstLine="600" w:firstLineChars="200"/>
        <w:rPr>
          <w:rFonts w:hint="eastAsia" w:eastAsia="仿宋_GB2312"/>
          <w:lang w:eastAsia="zh-CN"/>
        </w:rPr>
      </w:pPr>
      <w:r>
        <w:rPr>
          <w:rFonts w:hint="eastAsia"/>
          <w:color w:val="auto"/>
        </w:rPr>
        <w:t>4、成本指标</w:t>
      </w:r>
      <w:r>
        <w:rPr>
          <w:rFonts w:hint="eastAsia"/>
          <w:color w:val="auto"/>
          <w:lang w:eastAsia="zh-CN"/>
        </w:rPr>
        <w:t>：</w:t>
      </w:r>
      <w:r>
        <w:rPr>
          <w:rFonts w:hint="eastAsia"/>
          <w:color w:val="auto"/>
        </w:rPr>
        <w:t>指标1：单个申报项目前期费用，指标值：</w:t>
      </w:r>
      <w:r>
        <w:rPr>
          <w:rFonts w:hint="eastAsia"/>
          <w:color w:val="auto"/>
          <w:lang w:val="en-US" w:eastAsia="zh-CN"/>
        </w:rPr>
        <w:t>=7.5万元</w:t>
      </w:r>
      <w:r>
        <w:rPr>
          <w:rFonts w:hint="eastAsia"/>
          <w:color w:val="auto"/>
        </w:rPr>
        <w:t>，实际完成值</w:t>
      </w:r>
      <w:r>
        <w:rPr>
          <w:rFonts w:hint="eastAsia"/>
          <w:color w:val="auto"/>
          <w:lang w:val="en-US" w:eastAsia="zh-CN"/>
        </w:rPr>
        <w:t>=7.5万元</w:t>
      </w:r>
      <w:r>
        <w:rPr>
          <w:color w:val="auto"/>
        </w:rPr>
        <w:t xml:space="preserve"> </w:t>
      </w:r>
      <w:r>
        <w:rPr>
          <w:rFonts w:hint="eastAsia"/>
          <w:color w:val="auto"/>
        </w:rPr>
        <w:t>，指标完成率</w:t>
      </w:r>
      <w:r>
        <w:rPr>
          <w:rFonts w:hint="eastAsia"/>
          <w:color w:val="auto"/>
          <w:lang w:val="en-US" w:eastAsia="zh-CN"/>
        </w:rPr>
        <w:t>100</w:t>
      </w:r>
      <w:r>
        <w:rPr>
          <w:color w:val="auto"/>
        </w:rPr>
        <w:t xml:space="preserve"> </w:t>
      </w:r>
      <w:r>
        <w:rPr>
          <w:rFonts w:hint="eastAsia"/>
          <w:color w:val="auto"/>
        </w:rPr>
        <w:t>%</w:t>
      </w:r>
      <w:r>
        <w:rPr>
          <w:rFonts w:hint="eastAsia"/>
          <w:color w:val="auto"/>
          <w:lang w:eastAsia="zh-CN"/>
        </w:rPr>
        <w:t>。</w:t>
      </w:r>
    </w:p>
    <w:p>
      <w:pPr>
        <w:pStyle w:val="4"/>
        <w:spacing w:line="360" w:lineRule="auto"/>
        <w:rPr>
          <w:rFonts w:ascii="仿宋_GB2312" w:eastAsia="仿宋_GB2312"/>
          <w:b w:val="0"/>
          <w:bCs w:val="0"/>
        </w:rPr>
      </w:pPr>
      <w:bookmarkStart w:id="14" w:name="_Toc68703841"/>
      <w:r>
        <w:rPr>
          <w:rFonts w:hint="eastAsia" w:ascii="仿宋_GB2312" w:eastAsia="仿宋_GB2312"/>
          <w:b w:val="0"/>
          <w:bCs w:val="0"/>
        </w:rPr>
        <w:t>（四）项目效益情况。</w:t>
      </w:r>
      <w:bookmarkEnd w:id="14"/>
    </w:p>
    <w:p>
      <w:pPr>
        <w:spacing w:line="360" w:lineRule="auto"/>
        <w:ind w:firstLine="600" w:firstLineChars="200"/>
        <w:rPr>
          <w:rFonts w:hint="eastAsia" w:eastAsia="仿宋_GB2312"/>
          <w:color w:val="auto"/>
          <w:lang w:val="en-US" w:eastAsia="zh-CN"/>
        </w:rPr>
      </w:pPr>
      <w:r>
        <w:rPr>
          <w:rFonts w:hint="eastAsia"/>
          <w:color w:val="auto"/>
          <w:lang w:val="en-US" w:eastAsia="zh-CN"/>
        </w:rPr>
        <w:t>1</w:t>
      </w:r>
      <w:r>
        <w:rPr>
          <w:rFonts w:hint="eastAsia"/>
          <w:color w:val="auto"/>
        </w:rPr>
        <w:t>、社会效益指标：指标1：提高薰衣草生产企业的自我保护意识，指标值：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 xml:space="preserve"> ，指标完成率</w:t>
      </w:r>
      <w:r>
        <w:rPr>
          <w:rFonts w:hint="eastAsia"/>
          <w:color w:val="auto"/>
          <w:lang w:val="en-US" w:eastAsia="zh-CN"/>
        </w:rPr>
        <w:t>100</w:t>
      </w:r>
      <w:r>
        <w:rPr>
          <w:rFonts w:hint="eastAsia"/>
          <w:color w:val="auto"/>
        </w:rPr>
        <w:t xml:space="preserve"> %</w:t>
      </w:r>
      <w:r>
        <w:rPr>
          <w:rFonts w:hint="eastAsia"/>
          <w:color w:val="auto"/>
          <w:lang w:eastAsia="zh-CN"/>
        </w:rPr>
        <w:t>；</w:t>
      </w:r>
      <w:r>
        <w:rPr>
          <w:rFonts w:hint="eastAsia"/>
          <w:color w:val="auto"/>
        </w:rPr>
        <w:t>指标1：提高霍城薰衣草品牌知名度，指标值：</w:t>
      </w:r>
      <w:r>
        <w:rPr>
          <w:rFonts w:hint="eastAsia"/>
          <w:color w:val="auto"/>
          <w:lang w:val="en-US" w:eastAsia="zh-CN"/>
        </w:rPr>
        <w:t>有效提高</w:t>
      </w:r>
      <w:r>
        <w:rPr>
          <w:rFonts w:hint="eastAsia"/>
          <w:color w:val="auto"/>
        </w:rPr>
        <w:t>，实际完成值</w:t>
      </w:r>
      <w:r>
        <w:rPr>
          <w:rFonts w:hint="eastAsia"/>
          <w:color w:val="auto"/>
          <w:lang w:eastAsia="zh-CN"/>
        </w:rPr>
        <w:t>有效提升</w:t>
      </w:r>
      <w:r>
        <w:rPr>
          <w:rFonts w:hint="eastAsia"/>
          <w:color w:val="auto"/>
        </w:rPr>
        <w:t xml:space="preserve"> ，指标完成率</w:t>
      </w:r>
      <w:r>
        <w:rPr>
          <w:rFonts w:hint="eastAsia"/>
          <w:color w:val="auto"/>
          <w:lang w:val="en-US" w:eastAsia="zh-CN"/>
        </w:rPr>
        <w:t>100</w:t>
      </w:r>
      <w:r>
        <w:rPr>
          <w:rFonts w:hint="eastAsia"/>
          <w:color w:val="auto"/>
        </w:rPr>
        <w:t xml:space="preserve"> %</w:t>
      </w:r>
      <w:r>
        <w:rPr>
          <w:rFonts w:hint="eastAsia"/>
          <w:color w:val="auto"/>
          <w:lang w:eastAsia="zh-CN"/>
        </w:rPr>
        <w:t>；</w:t>
      </w:r>
    </w:p>
    <w:p>
      <w:pPr>
        <w:spacing w:line="360" w:lineRule="auto"/>
        <w:ind w:firstLine="600" w:firstLineChars="200"/>
        <w:rPr>
          <w:rFonts w:hint="eastAsia" w:eastAsia="仿宋_GB2312"/>
          <w:color w:val="auto"/>
          <w:lang w:eastAsia="zh-CN"/>
        </w:rPr>
      </w:pPr>
      <w:r>
        <w:rPr>
          <w:rFonts w:hint="eastAsia"/>
          <w:color w:val="auto"/>
          <w:lang w:val="en-US" w:eastAsia="zh-CN"/>
        </w:rPr>
        <w:t>2</w:t>
      </w:r>
      <w:r>
        <w:rPr>
          <w:rFonts w:hint="eastAsia"/>
          <w:color w:val="auto"/>
        </w:rPr>
        <w:t>、满意度指标：指标1：薰衣草生产企业满意度，指标值：</w:t>
      </w:r>
      <w:r>
        <w:rPr>
          <w:rFonts w:hint="eastAsia" w:ascii="宋体" w:hAnsi="宋体" w:eastAsia="宋体" w:cs="宋体"/>
          <w:color w:val="auto"/>
        </w:rPr>
        <w:t>≧</w:t>
      </w:r>
      <w:r>
        <w:rPr>
          <w:rFonts w:hint="eastAsia"/>
          <w:color w:val="auto"/>
          <w:lang w:val="en-US" w:eastAsia="zh-CN"/>
        </w:rPr>
        <w:t>98%</w:t>
      </w:r>
      <w:r>
        <w:rPr>
          <w:rFonts w:hint="eastAsia"/>
          <w:color w:val="auto"/>
        </w:rPr>
        <w:t>，实际完成值</w:t>
      </w:r>
      <w:r>
        <w:rPr>
          <w:rFonts w:hint="eastAsia"/>
          <w:color w:val="auto"/>
          <w:lang w:val="en-US" w:eastAsia="zh-CN"/>
        </w:rPr>
        <w:t>=100%</w:t>
      </w:r>
      <w:r>
        <w:rPr>
          <w:rFonts w:hint="eastAsia"/>
          <w:color w:val="auto"/>
        </w:rPr>
        <w:t xml:space="preserve"> ，指标完成率</w:t>
      </w:r>
      <w:r>
        <w:rPr>
          <w:rFonts w:hint="eastAsia"/>
          <w:color w:val="auto"/>
          <w:lang w:val="en-US" w:eastAsia="zh-CN"/>
        </w:rPr>
        <w:t>102</w:t>
      </w:r>
      <w:r>
        <w:rPr>
          <w:rFonts w:hint="eastAsia"/>
          <w:color w:val="auto"/>
        </w:rPr>
        <w:t xml:space="preserve"> %</w:t>
      </w:r>
      <w:r>
        <w:rPr>
          <w:rFonts w:hint="eastAsia"/>
          <w:color w:val="auto"/>
          <w:lang w:eastAsia="zh-CN"/>
        </w:rPr>
        <w:t>。</w:t>
      </w:r>
    </w:p>
    <w:p>
      <w:pPr>
        <w:pStyle w:val="3"/>
        <w:spacing w:line="360" w:lineRule="auto"/>
        <w:rPr>
          <w:rFonts w:ascii="宋体" w:hAnsi="宋体" w:eastAsia="宋体"/>
          <w:sz w:val="32"/>
          <w:szCs w:val="32"/>
        </w:rPr>
      </w:pPr>
      <w:bookmarkStart w:id="15" w:name="_Toc68703842"/>
      <w:r>
        <w:rPr>
          <w:rFonts w:hint="eastAsia" w:ascii="宋体" w:hAnsi="宋体" w:eastAsia="宋体"/>
          <w:sz w:val="32"/>
          <w:szCs w:val="32"/>
        </w:rPr>
        <w:t>五、主要经验及做法、存在的问题及原因分析</w:t>
      </w:r>
      <w:bookmarkEnd w:id="15"/>
    </w:p>
    <w:p>
      <w:pPr>
        <w:pStyle w:val="4"/>
        <w:spacing w:line="360" w:lineRule="auto"/>
        <w:rPr>
          <w:rFonts w:hint="eastAsia" w:ascii="仿宋_GB2312" w:eastAsia="仿宋_GB2312"/>
          <w:b w:val="0"/>
          <w:bCs w:val="0"/>
        </w:rPr>
      </w:pPr>
      <w:bookmarkStart w:id="16" w:name="_Toc68703843"/>
      <w:r>
        <w:rPr>
          <w:rFonts w:hint="eastAsia" w:ascii="仿宋_GB2312" w:eastAsia="仿宋_GB2312"/>
          <w:b w:val="0"/>
          <w:bCs w:val="0"/>
        </w:rPr>
        <w:t>（一）主要经验及做法</w:t>
      </w:r>
      <w:bookmarkEnd w:id="16"/>
    </w:p>
    <w:p>
      <w:pPr>
        <w:spacing w:line="360" w:lineRule="auto"/>
        <w:ind w:firstLine="600" w:firstLineChars="200"/>
        <w:rPr>
          <w:rFonts w:hint="eastAsia" w:ascii="Times New Roman" w:hAnsi="Times New Roman" w:cs="Times New Roman"/>
          <w:color w:val="auto"/>
          <w:lang w:val="en-US" w:eastAsia="zh-CN"/>
        </w:rPr>
      </w:pPr>
      <w:bookmarkStart w:id="17" w:name="_Toc68703844"/>
      <w:r>
        <w:rPr>
          <w:rFonts w:hint="eastAsia" w:ascii="Times New Roman" w:hAnsi="Times New Roman" w:cs="Times New Roman"/>
          <w:color w:val="auto"/>
          <w:lang w:val="en-US" w:eastAsia="zh-CN"/>
        </w:rPr>
        <w:t>1、主要经验及做法：</w:t>
      </w:r>
    </w:p>
    <w:p>
      <w:pPr>
        <w:spacing w:line="360" w:lineRule="auto"/>
        <w:ind w:firstLine="600" w:firstLineChars="20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合理设置年初绩效目标，严格按资金具体用途将产出数量目标全部量化至三级指标，据此开展绩效监控和绩效自评工作。坚持专款专用的原则，严格按年初拟定的资金使用计划安排支出，不得随意突破计划、改变计划或进行无计划的支出，提高财政资金支出的计划性与可控性。</w:t>
      </w:r>
    </w:p>
    <w:p>
      <w:pPr>
        <w:pStyle w:val="4"/>
        <w:spacing w:line="360" w:lineRule="auto"/>
        <w:rPr>
          <w:rFonts w:ascii="仿宋_GB2312" w:eastAsia="仿宋_GB2312"/>
          <w:b w:val="0"/>
          <w:bCs w:val="0"/>
        </w:rPr>
      </w:pPr>
      <w:r>
        <w:rPr>
          <w:rFonts w:hint="eastAsia" w:ascii="仿宋_GB2312" w:eastAsia="仿宋_GB2312"/>
          <w:b w:val="0"/>
          <w:bCs w:val="0"/>
        </w:rPr>
        <w:t>（二）存在的问题及原因分析</w:t>
      </w:r>
      <w:bookmarkEnd w:id="17"/>
    </w:p>
    <w:p>
      <w:pPr>
        <w:spacing w:line="360" w:lineRule="auto"/>
        <w:ind w:firstLine="600" w:firstLineChars="20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存在的问题：在编制绩效项目支出绩效工作过程中，预算编制工作有待细化；</w:t>
      </w:r>
    </w:p>
    <w:p>
      <w:pPr>
        <w:spacing w:line="360" w:lineRule="auto"/>
        <w:ind w:firstLine="600" w:firstLineChars="200"/>
        <w:rPr>
          <w:color w:val="FF0000"/>
        </w:rPr>
      </w:pPr>
      <w:r>
        <w:rPr>
          <w:rFonts w:hint="eastAsia" w:ascii="Times New Roman" w:hAnsi="Times New Roman" w:cs="Times New Roman"/>
          <w:color w:val="auto"/>
          <w:lang w:val="en-US" w:eastAsia="zh-CN"/>
        </w:rPr>
        <w:t>原因分析：工作人员在编制预算过程中对相关业务掌握程度不够，预算编制不够明确和细化，预算执行力度还要进一步加强。</w:t>
      </w:r>
    </w:p>
    <w:p>
      <w:pPr>
        <w:pStyle w:val="3"/>
        <w:numPr>
          <w:ilvl w:val="0"/>
          <w:numId w:val="2"/>
        </w:numPr>
        <w:spacing w:line="360" w:lineRule="auto"/>
        <w:rPr>
          <w:rFonts w:hint="eastAsia" w:ascii="宋体" w:hAnsi="宋体" w:eastAsia="宋体"/>
          <w:sz w:val="32"/>
          <w:szCs w:val="32"/>
        </w:rPr>
      </w:pPr>
      <w:bookmarkStart w:id="18" w:name="_Toc68703845"/>
      <w:r>
        <w:rPr>
          <w:rFonts w:hint="eastAsia" w:ascii="宋体" w:hAnsi="宋体" w:eastAsia="宋体"/>
          <w:sz w:val="32"/>
          <w:szCs w:val="32"/>
        </w:rPr>
        <w:t>有关建议</w:t>
      </w:r>
      <w:bookmarkEnd w:id="18"/>
    </w:p>
    <w:p>
      <w:pPr>
        <w:spacing w:line="360" w:lineRule="auto"/>
        <w:ind w:firstLine="600" w:firstLineChars="200"/>
        <w:rPr>
          <w:rFonts w:hint="eastAsia" w:ascii="Times New Roman" w:hAnsi="Times New Roman" w:cs="Times New Roman"/>
          <w:color w:val="auto"/>
          <w:lang w:val="en-US" w:eastAsia="zh-CN"/>
        </w:rPr>
      </w:pPr>
      <w:bookmarkStart w:id="19" w:name="_Toc68703846"/>
      <w:r>
        <w:rPr>
          <w:rFonts w:hint="eastAsia" w:ascii="Times New Roman" w:hAnsi="Times New Roman" w:cs="Times New Roman"/>
          <w:color w:val="auto"/>
          <w:lang w:val="en-US" w:eastAsia="zh-CN"/>
        </w:rPr>
        <w:t>1、建议在今后设置绩效指标时根据项目建设内容和目标，设置指标指向明确、细化量化、合理可行、相应匹配，做到能量化的量化，不能量化的细化，不能细化的程序化。</w:t>
      </w:r>
    </w:p>
    <w:p>
      <w:pPr>
        <w:spacing w:line="360" w:lineRule="auto"/>
        <w:ind w:firstLine="600" w:firstLineChars="20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2、建议在今后项目绩效评价工作中，进一步加强对项目绩效工作的指导，组织培训，以更好的开展绩效评价工作。</w:t>
      </w:r>
    </w:p>
    <w:p>
      <w:pPr>
        <w:spacing w:line="360" w:lineRule="auto"/>
        <w:ind w:firstLine="600" w:firstLineChars="200"/>
        <w:rPr>
          <w:rFonts w:hint="eastAsia" w:ascii="Times New Roman" w:hAnsi="Times New Roman" w:cs="Times New Roman"/>
          <w:color w:val="auto"/>
          <w:lang w:val="en-US" w:eastAsia="zh-CN"/>
        </w:rPr>
      </w:pPr>
      <w:r>
        <w:rPr>
          <w:rFonts w:hint="eastAsia" w:cs="Times New Roman"/>
          <w:color w:val="auto"/>
          <w:lang w:val="en-US" w:eastAsia="zh-CN"/>
        </w:rPr>
        <w:t>3</w:t>
      </w:r>
      <w:r>
        <w:rPr>
          <w:rFonts w:hint="eastAsia" w:ascii="Times New Roman" w:hAnsi="Times New Roman" w:cs="Times New Roman"/>
          <w:color w:val="auto"/>
          <w:lang w:val="en-US" w:eastAsia="zh-CN"/>
        </w:rPr>
        <w:t>、继续加强《预算法》及《预算法实施条例》的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江预算资金尽量落实到具体人员、项目，是预算充分反映资金收支活动全貌，保证预算的可执行性。</w:t>
      </w:r>
    </w:p>
    <w:p>
      <w:pPr>
        <w:spacing w:line="360" w:lineRule="auto"/>
        <w:ind w:firstLine="600" w:firstLineChars="200"/>
        <w:rPr>
          <w:rFonts w:hint="eastAsia" w:ascii="Times New Roman" w:hAnsi="Times New Roman" w:cs="Times New Roman"/>
          <w:color w:val="auto"/>
          <w:lang w:val="en-US" w:eastAsia="zh-CN"/>
        </w:rPr>
      </w:pPr>
      <w:r>
        <w:rPr>
          <w:rFonts w:hint="eastAsia" w:cs="Times New Roman"/>
          <w:color w:val="auto"/>
          <w:lang w:val="en-US" w:eastAsia="zh-CN"/>
        </w:rPr>
        <w:t>4</w:t>
      </w:r>
      <w:r>
        <w:rPr>
          <w:rFonts w:hint="eastAsia" w:ascii="Times New Roman" w:hAnsi="Times New Roman" w:cs="Times New Roman"/>
          <w:color w:val="auto"/>
          <w:lang w:val="en-US" w:eastAsia="zh-CN"/>
        </w:rPr>
        <w:t>、进一步完善</w:t>
      </w:r>
      <w:r>
        <w:rPr>
          <w:rFonts w:hint="eastAsia" w:cs="Times New Roman"/>
          <w:color w:val="auto"/>
          <w:lang w:val="en-US" w:eastAsia="zh-CN"/>
        </w:rPr>
        <w:t>专项</w:t>
      </w:r>
      <w:r>
        <w:rPr>
          <w:rFonts w:hint="eastAsia" w:ascii="Times New Roman" w:hAnsi="Times New Roman" w:cs="Times New Roman"/>
          <w:color w:val="auto"/>
          <w:lang w:val="en-US" w:eastAsia="zh-CN"/>
        </w:rPr>
        <w:t>经费管理和使用的监督机制，做好日常监督工作，严防违法违规行为。</w:t>
      </w:r>
    </w:p>
    <w:p>
      <w:pPr>
        <w:pStyle w:val="3"/>
        <w:spacing w:line="360" w:lineRule="auto"/>
        <w:rPr>
          <w:rFonts w:ascii="宋体" w:hAnsi="宋体" w:eastAsia="宋体"/>
          <w:sz w:val="32"/>
          <w:szCs w:val="32"/>
        </w:rPr>
      </w:pPr>
      <w:r>
        <w:rPr>
          <w:rFonts w:hint="eastAsia" w:ascii="宋体" w:hAnsi="宋体" w:eastAsia="宋体"/>
          <w:sz w:val="32"/>
          <w:szCs w:val="32"/>
        </w:rPr>
        <w:t>七、其他需要说明的问题</w:t>
      </w:r>
      <w:bookmarkEnd w:id="19"/>
    </w:p>
    <w:p>
      <w:pPr>
        <w:keepNext w:val="0"/>
        <w:keepLines w:val="0"/>
        <w:pageBreakBefore w:val="0"/>
        <w:widowControl w:val="0"/>
        <w:kinsoku/>
        <w:wordWrap/>
        <w:overflowPunct/>
        <w:topLinePunct w:val="0"/>
        <w:autoSpaceDE/>
        <w:autoSpaceDN/>
        <w:bidi w:val="0"/>
        <w:adjustRightInd/>
        <w:snapToGrid/>
        <w:spacing w:line="70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本单位没有其他需要说明的问题。</w:t>
      </w:r>
    </w:p>
    <w:p>
      <w:pPr>
        <w:keepNext w:val="0"/>
        <w:keepLines w:val="0"/>
        <w:pageBreakBefore w:val="0"/>
        <w:kinsoku/>
        <w:wordWrap/>
        <w:overflowPunct/>
        <w:topLinePunct w:val="0"/>
        <w:autoSpaceDE/>
        <w:autoSpaceDN/>
        <w:bidi w:val="0"/>
        <w:adjustRightInd/>
        <w:snapToGrid/>
        <w:spacing w:line="700" w:lineRule="exact"/>
        <w:rPr>
          <w:rFonts w:hint="eastAsia" w:ascii="Times New Roman" w:hAnsi="Times New Roman"/>
          <w:bCs/>
          <w:sz w:val="32"/>
          <w:szCs w:val="32"/>
        </w:rPr>
      </w:pPr>
    </w:p>
    <w:p/>
    <w:sectPr>
      <w:headerReference r:id="rId3" w:type="default"/>
      <w:footerReference r:id="rId4" w:type="default"/>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6BEF25"/>
    <w:multiLevelType w:val="singleLevel"/>
    <w:tmpl w:val="2E6BEF25"/>
    <w:lvl w:ilvl="0" w:tentative="0">
      <w:start w:val="1"/>
      <w:numFmt w:val="decimal"/>
      <w:suff w:val="nothing"/>
      <w:lvlText w:val="%1、"/>
      <w:lvlJc w:val="left"/>
    </w:lvl>
  </w:abstractNum>
  <w:abstractNum w:abstractNumId="1">
    <w:nsid w:val="324177A7"/>
    <w:multiLevelType w:val="singleLevel"/>
    <w:tmpl w:val="324177A7"/>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YjAxOWM4NTA4MmE2ODcxMWYzYjMzM2FiMDIxMjYifQ=="/>
  </w:docVars>
  <w:rsids>
    <w:rsidRoot w:val="007D49C5"/>
    <w:rsid w:val="005B64E8"/>
    <w:rsid w:val="00614288"/>
    <w:rsid w:val="00792CFE"/>
    <w:rsid w:val="007D49C5"/>
    <w:rsid w:val="008C631D"/>
    <w:rsid w:val="00B24331"/>
    <w:rsid w:val="029D384F"/>
    <w:rsid w:val="126B2726"/>
    <w:rsid w:val="18701BF4"/>
    <w:rsid w:val="209A3B8F"/>
    <w:rsid w:val="324D1A0D"/>
    <w:rsid w:val="3C7F3C91"/>
    <w:rsid w:val="3D144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qFormat/>
    <w:uiPriority w:val="99"/>
    <w:pPr>
      <w:keepNext/>
      <w:keepLines/>
      <w:spacing w:before="260" w:after="260" w:line="416" w:lineRule="auto"/>
      <w:outlineLvl w:val="2"/>
    </w:pPr>
    <w:rPr>
      <w:rFonts w:ascii="Times New Roman" w:hAnsi="Times New Roman"/>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footer"/>
    <w:basedOn w:val="1"/>
    <w:semiHidden/>
    <w:unhideWhenUsed/>
    <w:qFormat/>
    <w:uiPriority w:val="99"/>
    <w:pPr>
      <w:tabs>
        <w:tab w:val="center" w:pos="4153"/>
        <w:tab w:val="right" w:pos="8306"/>
      </w:tabs>
      <w:snapToGrid w:val="0"/>
      <w:jc w:val="left"/>
    </w:pPr>
    <w:rPr>
      <w:sz w:val="18"/>
    </w:rPr>
  </w:style>
  <w:style w:type="paragraph" w:styleId="6">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8">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1">
    <w:name w:val="Strong"/>
    <w:basedOn w:val="10"/>
    <w:qFormat/>
    <w:uiPriority w:val="99"/>
    <w:rPr>
      <w:b/>
      <w:bCs/>
    </w:rPr>
  </w:style>
  <w:style w:type="character" w:styleId="12">
    <w:name w:val="Hyperlink"/>
    <w:basedOn w:val="10"/>
    <w:unhideWhenUsed/>
    <w:qFormat/>
    <w:uiPriority w:val="99"/>
    <w:rPr>
      <w:color w:val="0563C1" w:themeColor="hyperlink"/>
      <w:u w:val="single"/>
      <w14:textFill>
        <w14:solidFill>
          <w14:schemeClr w14:val="hlink"/>
        </w14:solidFill>
      </w14:textFill>
    </w:rPr>
  </w:style>
  <w:style w:type="character" w:customStyle="1" w:styleId="13">
    <w:name w:val="标题 1 字符"/>
    <w:basedOn w:val="10"/>
    <w:link w:val="3"/>
    <w:qFormat/>
    <w:uiPriority w:val="9"/>
    <w:rPr>
      <w:rFonts w:ascii="Times New Roman" w:hAnsi="Times New Roman" w:eastAsia="仿宋_GB2312" w:cs="Times New Roman"/>
      <w:b/>
      <w:bCs/>
      <w:kern w:val="44"/>
      <w:sz w:val="44"/>
      <w:szCs w:val="44"/>
    </w:rPr>
  </w:style>
  <w:style w:type="character" w:customStyle="1" w:styleId="14">
    <w:name w:val="标题 2 字符"/>
    <w:basedOn w:val="10"/>
    <w:link w:val="4"/>
    <w:qFormat/>
    <w:uiPriority w:val="9"/>
    <w:rPr>
      <w:rFonts w:asciiTheme="majorHAnsi" w:hAnsiTheme="majorHAnsi" w:eastAsiaTheme="majorEastAsia" w:cstheme="majorBidi"/>
      <w:b/>
      <w:bCs/>
      <w:sz w:val="32"/>
      <w:szCs w:val="32"/>
    </w:rPr>
  </w:style>
  <w:style w:type="paragraph" w:customStyle="1" w:styleId="15">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5595</Words>
  <Characters>5745</Characters>
  <Lines>38</Lines>
  <Paragraphs>10</Paragraphs>
  <TotalTime>26</TotalTime>
  <ScaleCrop>false</ScaleCrop>
  <LinksUpToDate>false</LinksUpToDate>
  <CharactersWithSpaces>5785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cp:lastPrinted>2023-03-16T09:52:00Z</cp:lastPrinted>
  <dcterms:modified xsi:type="dcterms:W3CDTF">2023-09-06T04:28:12Z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C9AC03525425446B9A99817F09795886</vt:lpwstr>
  </property>
</Properties>
</file>