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48"/>
          <w:szCs w:val="48"/>
        </w:rPr>
      </w:pPr>
    </w:p>
    <w:p>
      <w:pPr>
        <w:jc w:val="center"/>
        <w:rPr>
          <w:rFonts w:ascii="宋体" w:hAnsi="宋体" w:eastAsia="宋体" w:cs="Arial"/>
          <w:b/>
          <w:bCs/>
          <w:sz w:val="52"/>
          <w:szCs w:val="52"/>
        </w:rPr>
      </w:pPr>
      <w:r>
        <w:rPr>
          <w:rFonts w:hint="eastAsia" w:ascii="宋体" w:hAnsi="宋体" w:eastAsia="宋体" w:cs="Arial"/>
          <w:b/>
          <w:bCs/>
          <w:sz w:val="52"/>
          <w:szCs w:val="52"/>
        </w:rPr>
        <w:t>项目支出绩效评价报告</w:t>
      </w:r>
    </w:p>
    <w:p>
      <w:pPr>
        <w:jc w:val="center"/>
        <w:rPr>
          <w:rFonts w:ascii="宋体" w:hAnsi="宋体" w:eastAsia="宋体" w:cs="Arial"/>
          <w:b/>
          <w:bCs/>
          <w:sz w:val="48"/>
          <w:szCs w:val="48"/>
        </w:rPr>
      </w:pPr>
    </w:p>
    <w:p>
      <w:pPr>
        <w:widowControl/>
        <w:spacing w:line="560" w:lineRule="exact"/>
        <w:jc w:val="center"/>
        <w:rPr>
          <w:rFonts w:ascii="仿宋_GB2312" w:hAnsi="仿宋_GB2312" w:cs="仿宋_GB2312"/>
          <w:b/>
          <w:kern w:val="0"/>
          <w:sz w:val="50"/>
          <w:szCs w:val="50"/>
          <w:lang w:bidi="en-US"/>
        </w:rPr>
      </w:pPr>
      <w:r>
        <w:rPr>
          <w:rFonts w:hint="eastAsia" w:ascii="红豆小标宋简体" w:hAnsi="红豆小标宋简体" w:eastAsia="红豆小标宋简体" w:cs="红豆小标宋简体"/>
          <w:color w:val="000000"/>
          <w:kern w:val="0"/>
          <w:sz w:val="36"/>
          <w:szCs w:val="36"/>
        </w:rPr>
        <w:t>（2</w:t>
      </w:r>
      <w:r>
        <w:rPr>
          <w:rFonts w:ascii="红豆小标宋简体" w:hAnsi="红豆小标宋简体" w:eastAsia="红豆小标宋简体" w:cs="红豆小标宋简体"/>
          <w:color w:val="000000"/>
          <w:kern w:val="0"/>
          <w:sz w:val="36"/>
          <w:szCs w:val="36"/>
        </w:rPr>
        <w:t>02</w:t>
      </w:r>
      <w:r>
        <w:rPr>
          <w:rFonts w:hint="eastAsia" w:ascii="红豆小标宋简体" w:hAnsi="红豆小标宋简体" w:eastAsia="红豆小标宋简体" w:cs="红豆小标宋简体"/>
          <w:color w:val="000000"/>
          <w:kern w:val="0"/>
          <w:sz w:val="36"/>
          <w:szCs w:val="36"/>
          <w:lang w:val="en-US" w:eastAsia="zh-CN"/>
        </w:rPr>
        <w:t>2</w:t>
      </w:r>
      <w:r>
        <w:rPr>
          <w:rFonts w:hint="eastAsia" w:ascii="红豆小标宋简体" w:hAnsi="红豆小标宋简体" w:eastAsia="红豆小标宋简体" w:cs="红豆小标宋简体"/>
          <w:color w:val="000000"/>
          <w:kern w:val="0"/>
          <w:sz w:val="36"/>
          <w:szCs w:val="36"/>
        </w:rPr>
        <w:t>年度）</w:t>
      </w: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480" w:lineRule="auto"/>
        <w:jc w:val="center"/>
        <w:rPr>
          <w:rFonts w:ascii="仿宋_GB2312" w:hAnsi="仿宋_GB2312" w:cs="仿宋_GB2312"/>
          <w:b/>
          <w:kern w:val="0"/>
          <w:sz w:val="50"/>
          <w:szCs w:val="50"/>
          <w:lang w:bidi="en-US"/>
        </w:rPr>
      </w:pPr>
    </w:p>
    <w:p>
      <w:pPr>
        <w:spacing w:line="560" w:lineRule="exact"/>
        <w:ind w:firstLine="321" w:firstLineChars="100"/>
        <w:rPr>
          <w:rFonts w:hint="default" w:ascii="宋体" w:hAnsi="宋体" w:eastAsia="宋体" w:cs="仿宋_GB2312"/>
          <w:color w:val="000000"/>
          <w:kern w:val="0"/>
          <w:sz w:val="32"/>
          <w:szCs w:val="32"/>
          <w:lang w:val="en-US" w:eastAsia="zh-CN"/>
        </w:rPr>
      </w:pPr>
      <w:r>
        <w:rPr>
          <w:rFonts w:hint="eastAsia" w:ascii="宋体" w:hAnsi="宋体" w:eastAsia="宋体" w:cs="仿宋_GB2312"/>
          <w:b/>
          <w:bCs/>
          <w:color w:val="000000"/>
          <w:kern w:val="0"/>
          <w:sz w:val="32"/>
          <w:szCs w:val="32"/>
        </w:rPr>
        <w:t>项目名称：</w:t>
      </w:r>
      <w:r>
        <w:rPr>
          <w:rFonts w:hint="eastAsia" w:ascii="宋体" w:hAnsi="宋体" w:eastAsia="宋体" w:cs="仿宋_GB2312"/>
          <w:color w:val="000000"/>
          <w:kern w:val="0"/>
          <w:sz w:val="32"/>
          <w:szCs w:val="32"/>
          <w:lang w:val="en-US" w:eastAsia="zh-CN"/>
        </w:rPr>
        <w:t>2022年招商引资项目专项经费</w:t>
      </w:r>
    </w:p>
    <w:p>
      <w:pPr>
        <w:spacing w:line="560" w:lineRule="exact"/>
        <w:ind w:firstLine="321" w:firstLineChars="100"/>
        <w:rPr>
          <w:rFonts w:hint="eastAsia" w:ascii="宋体" w:hAnsi="宋体" w:eastAsia="宋体" w:cs="仿宋_GB2312"/>
          <w:color w:val="000000"/>
          <w:kern w:val="0"/>
          <w:sz w:val="32"/>
          <w:szCs w:val="32"/>
          <w:lang w:val="en-US" w:eastAsia="zh-CN"/>
        </w:rPr>
      </w:pPr>
      <w:r>
        <w:rPr>
          <w:rFonts w:hint="eastAsia" w:ascii="宋体" w:hAnsi="宋体" w:eastAsia="宋体" w:cs="仿宋_GB2312"/>
          <w:b/>
          <w:bCs/>
          <w:color w:val="000000"/>
          <w:kern w:val="0"/>
          <w:sz w:val="32"/>
          <w:szCs w:val="32"/>
        </w:rPr>
        <w:t>实施单位（公章）：</w:t>
      </w:r>
      <w:r>
        <w:rPr>
          <w:rFonts w:hint="eastAsia" w:ascii="宋体" w:hAnsi="宋体" w:eastAsia="宋体" w:cs="仿宋_GB2312"/>
          <w:color w:val="000000"/>
          <w:kern w:val="0"/>
          <w:sz w:val="32"/>
          <w:szCs w:val="32"/>
          <w:lang w:val="en-US" w:eastAsia="zh-CN"/>
        </w:rPr>
        <w:t>霍城县商务和工业信息化局</w:t>
      </w: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主管部门（公章）：</w:t>
      </w:r>
      <w:r>
        <w:rPr>
          <w:rFonts w:hint="eastAsia" w:ascii="宋体" w:hAnsi="宋体" w:eastAsia="宋体" w:cs="仿宋_GB2312"/>
          <w:color w:val="000000"/>
          <w:kern w:val="0"/>
          <w:sz w:val="32"/>
          <w:szCs w:val="32"/>
          <w:lang w:val="en-US" w:eastAsia="zh-CN"/>
        </w:rPr>
        <w:t>霍城县商务和工业信息化局</w:t>
      </w:r>
    </w:p>
    <w:p>
      <w:pPr>
        <w:spacing w:line="560" w:lineRule="exact"/>
        <w:ind w:firstLine="321" w:firstLineChars="100"/>
        <w:rPr>
          <w:rFonts w:hint="eastAsia" w:ascii="宋体" w:hAnsi="宋体" w:eastAsia="宋体" w:cs="宋体"/>
          <w:kern w:val="0"/>
          <w:sz w:val="32"/>
          <w:szCs w:val="32"/>
          <w:lang w:eastAsia="zh-CN"/>
        </w:rPr>
      </w:pPr>
      <w:r>
        <w:rPr>
          <w:rFonts w:hint="eastAsia" w:ascii="宋体" w:hAnsi="宋体" w:eastAsia="宋体" w:cs="仿宋_GB2312"/>
          <w:b/>
          <w:bCs/>
          <w:color w:val="000000"/>
          <w:kern w:val="0"/>
          <w:sz w:val="32"/>
          <w:szCs w:val="32"/>
        </w:rPr>
        <w:t>项目负责人（签章）：</w:t>
      </w:r>
      <w:r>
        <w:rPr>
          <w:rFonts w:hint="eastAsia" w:ascii="宋体" w:hAnsi="宋体" w:eastAsia="宋体" w:cs="仿宋_GB2312"/>
          <w:color w:val="000000"/>
          <w:kern w:val="0"/>
          <w:sz w:val="32"/>
          <w:szCs w:val="32"/>
          <w:lang w:val="en-US" w:eastAsia="zh-CN"/>
        </w:rPr>
        <w:t>陈思蓉</w:t>
      </w:r>
    </w:p>
    <w:p>
      <w:pPr>
        <w:spacing w:line="560" w:lineRule="exact"/>
        <w:ind w:firstLine="321" w:firstLineChars="100"/>
        <w:rPr>
          <w:rFonts w:ascii="宋体" w:hAnsi="宋体" w:eastAsia="宋体" w:cs="仿宋_GB2312"/>
          <w:color w:val="000000"/>
          <w:kern w:val="0"/>
          <w:sz w:val="32"/>
          <w:szCs w:val="32"/>
        </w:rPr>
      </w:pPr>
      <w:r>
        <w:rPr>
          <w:rFonts w:hint="eastAsia" w:ascii="宋体" w:hAnsi="宋体" w:eastAsia="宋体" w:cs="仿宋_GB2312"/>
          <w:b/>
          <w:bCs/>
          <w:color w:val="000000"/>
          <w:kern w:val="0"/>
          <w:sz w:val="32"/>
          <w:szCs w:val="32"/>
        </w:rPr>
        <w:t>填报时间：</w:t>
      </w:r>
      <w:r>
        <w:rPr>
          <w:rFonts w:hint="eastAsia" w:ascii="宋体" w:hAnsi="宋体" w:eastAsia="宋体" w:cs="仿宋_GB2312"/>
          <w:color w:val="000000"/>
          <w:kern w:val="0"/>
          <w:sz w:val="32"/>
          <w:szCs w:val="32"/>
        </w:rPr>
        <w:t>202</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 xml:space="preserve">年 </w:t>
      </w:r>
      <w:r>
        <w:rPr>
          <w:rFonts w:hint="eastAsia" w:ascii="宋体" w:hAnsi="宋体" w:eastAsia="宋体" w:cs="仿宋_GB2312"/>
          <w:color w:val="000000"/>
          <w:kern w:val="0"/>
          <w:sz w:val="32"/>
          <w:szCs w:val="32"/>
          <w:lang w:val="en-US" w:eastAsia="zh-CN"/>
        </w:rPr>
        <w:t>3</w:t>
      </w:r>
      <w:r>
        <w:rPr>
          <w:rFonts w:hint="eastAsia" w:ascii="宋体" w:hAnsi="宋体" w:eastAsia="宋体" w:cs="仿宋_GB2312"/>
          <w:color w:val="000000"/>
          <w:kern w:val="0"/>
          <w:sz w:val="32"/>
          <w:szCs w:val="32"/>
        </w:rPr>
        <w:t xml:space="preserve">月 </w:t>
      </w:r>
      <w:r>
        <w:rPr>
          <w:rFonts w:hint="eastAsia" w:ascii="宋体" w:hAnsi="宋体" w:eastAsia="宋体" w:cs="仿宋_GB2312"/>
          <w:color w:val="000000"/>
          <w:kern w:val="0"/>
          <w:sz w:val="32"/>
          <w:szCs w:val="32"/>
          <w:lang w:val="en-US" w:eastAsia="zh-CN"/>
        </w:rPr>
        <w:t>22</w:t>
      </w:r>
      <w:r>
        <w:rPr>
          <w:rFonts w:hint="eastAsia" w:ascii="宋体" w:hAnsi="宋体" w:eastAsia="宋体" w:cs="仿宋_GB2312"/>
          <w:color w:val="000000"/>
          <w:kern w:val="0"/>
          <w:sz w:val="32"/>
          <w:szCs w:val="32"/>
        </w:rPr>
        <w:t>日</w:t>
      </w:r>
    </w:p>
    <w:p>
      <w:pPr>
        <w:widowControl/>
        <w:jc w:val="left"/>
        <w:rPr>
          <w:rFonts w:ascii="宋体" w:hAnsi="宋体" w:eastAsia="宋体" w:cs="Arial"/>
          <w:b/>
          <w:bCs/>
          <w:sz w:val="36"/>
          <w:szCs w:val="36"/>
        </w:rPr>
      </w:pPr>
      <w:r>
        <w:rPr>
          <w:rFonts w:ascii="宋体" w:hAnsi="宋体" w:eastAsia="宋体" w:cs="Arial"/>
          <w:b/>
          <w:bCs/>
          <w:sz w:val="36"/>
          <w:szCs w:val="36"/>
        </w:rPr>
        <w:br w:type="page"/>
      </w:r>
    </w:p>
    <w:p>
      <w:pPr>
        <w:jc w:val="center"/>
        <w:rPr>
          <w:rFonts w:ascii="Arial" w:hAnsi="Arial" w:eastAsia="宋体" w:cs="Arial"/>
          <w:b/>
          <w:bCs/>
          <w:sz w:val="36"/>
          <w:szCs w:val="36"/>
        </w:rPr>
      </w:pPr>
      <w:r>
        <w:rPr>
          <w:rFonts w:hint="eastAsia" w:ascii="宋体" w:hAnsi="宋体" w:eastAsia="宋体" w:cs="Arial"/>
          <w:b/>
          <w:bCs/>
          <w:sz w:val="36"/>
          <w:szCs w:val="36"/>
        </w:rPr>
        <w:t>项目支出</w:t>
      </w:r>
      <w:r>
        <w:rPr>
          <w:rFonts w:ascii="宋体" w:hAnsi="宋体" w:eastAsia="宋体" w:cs="Arial"/>
          <w:b/>
          <w:bCs/>
          <w:sz w:val="36"/>
          <w:szCs w:val="36"/>
        </w:rPr>
        <w:t>绩效</w:t>
      </w:r>
      <w:r>
        <w:rPr>
          <w:rFonts w:hint="eastAsia" w:ascii="宋体" w:hAnsi="宋体" w:eastAsia="宋体" w:cs="Arial"/>
          <w:b/>
          <w:bCs/>
          <w:sz w:val="36"/>
          <w:szCs w:val="36"/>
        </w:rPr>
        <w:t>评价报告</w:t>
      </w:r>
    </w:p>
    <w:p>
      <w:pPr>
        <w:jc w:val="both"/>
        <w:rPr>
          <w:rFonts w:ascii="仿宋_GB2312"/>
          <w:szCs w:val="30"/>
        </w:rPr>
      </w:pPr>
    </w:p>
    <w:p>
      <w:pPr>
        <w:pStyle w:val="2"/>
        <w:spacing w:line="360" w:lineRule="auto"/>
        <w:rPr>
          <w:rFonts w:ascii="宋体" w:hAnsi="宋体" w:eastAsia="宋体"/>
          <w:sz w:val="32"/>
          <w:szCs w:val="32"/>
        </w:rPr>
      </w:pPr>
      <w:bookmarkStart w:id="0" w:name="_Toc68703827"/>
      <w:r>
        <w:rPr>
          <w:rFonts w:hint="eastAsia" w:ascii="宋体" w:hAnsi="宋体" w:eastAsia="宋体"/>
          <w:sz w:val="32"/>
          <w:szCs w:val="32"/>
        </w:rPr>
        <w:t>一、基本情况</w:t>
      </w:r>
      <w:bookmarkEnd w:id="0"/>
    </w:p>
    <w:p>
      <w:pPr>
        <w:pStyle w:val="3"/>
        <w:spacing w:line="360" w:lineRule="auto"/>
        <w:rPr>
          <w:rFonts w:hint="eastAsia" w:ascii="仿宋_GB2312" w:eastAsia="仿宋_GB2312"/>
          <w:b w:val="0"/>
          <w:bCs w:val="0"/>
        </w:rPr>
      </w:pPr>
      <w:bookmarkStart w:id="1" w:name="_Toc68703828"/>
      <w:r>
        <w:rPr>
          <w:rFonts w:hint="eastAsia" w:ascii="仿宋_GB2312" w:eastAsia="仿宋_GB2312"/>
          <w:b w:val="0"/>
          <w:bCs w:val="0"/>
        </w:rPr>
        <w:t>（一）项目概况。</w:t>
      </w:r>
      <w:bookmarkEnd w:id="1"/>
    </w:p>
    <w:p>
      <w:pPr>
        <w:spacing w:line="360" w:lineRule="auto"/>
        <w:ind w:firstLine="600" w:firstLineChars="200"/>
        <w:rPr>
          <w:rFonts w:hint="eastAsia" w:ascii="仿宋_GB2312"/>
        </w:rPr>
      </w:pPr>
      <w:r>
        <w:rPr>
          <w:rFonts w:hint="eastAsia" w:ascii="仿宋_GB2312"/>
        </w:rPr>
        <w:t>1</w:t>
      </w:r>
      <w:r>
        <w:rPr>
          <w:rFonts w:hint="eastAsia" w:ascii="仿宋_GB2312"/>
          <w:lang w:val="en-US" w:eastAsia="zh-CN"/>
        </w:rPr>
        <w:t>.</w:t>
      </w:r>
      <w:r>
        <w:rPr>
          <w:rFonts w:hint="eastAsia" w:ascii="仿宋_GB2312"/>
        </w:rPr>
        <w:t>项目背景</w:t>
      </w:r>
    </w:p>
    <w:p>
      <w:pPr>
        <w:spacing w:line="360" w:lineRule="auto"/>
        <w:ind w:firstLine="600" w:firstLineChars="200"/>
        <w:rPr>
          <w:rFonts w:hint="eastAsia" w:ascii="仿宋_GB2312"/>
          <w:color w:val="auto"/>
        </w:rPr>
      </w:pPr>
      <w:r>
        <w:rPr>
          <w:rFonts w:hint="eastAsia"/>
          <w:color w:val="auto"/>
        </w:rPr>
        <w:t>项目主要计划制作对外推介招商投资手册，更新制作招商推介PPT、宣传片、推介小程序等，组织招商小分队点对点外出招商，前往内地省市举办招商引资推介会以及组织企业参加招商会、展会、推介会等活动。按照相关规定及标准，做好客商投资考察接待工作，做好外出招商各项筹备及后勤保障工作，做好招商引资相关培训工作等，安排资金</w:t>
      </w:r>
      <w:r>
        <w:rPr>
          <w:rFonts w:hint="eastAsia"/>
          <w:color w:val="auto"/>
          <w:lang w:val="en-US" w:eastAsia="zh-CN"/>
        </w:rPr>
        <w:t>36.12</w:t>
      </w:r>
      <w:r>
        <w:rPr>
          <w:rFonts w:hint="eastAsia"/>
          <w:color w:val="auto"/>
        </w:rPr>
        <w:t>万元。</w:t>
      </w:r>
    </w:p>
    <w:p>
      <w:pPr>
        <w:spacing w:line="360" w:lineRule="auto"/>
        <w:ind w:firstLine="600" w:firstLineChars="200"/>
        <w:rPr>
          <w:rFonts w:ascii="仿宋_GB2312"/>
        </w:rPr>
      </w:pPr>
      <w:r>
        <w:rPr>
          <w:rFonts w:hint="eastAsia" w:ascii="仿宋_GB2312"/>
        </w:rPr>
        <w:t>2</w:t>
      </w:r>
      <w:r>
        <w:rPr>
          <w:rFonts w:hint="eastAsia" w:ascii="仿宋_GB2312"/>
          <w:lang w:val="en-US" w:eastAsia="zh-CN"/>
        </w:rPr>
        <w:t>.</w:t>
      </w:r>
      <w:r>
        <w:rPr>
          <w:rFonts w:hint="eastAsia" w:ascii="仿宋_GB2312"/>
        </w:rPr>
        <w:t>主要内容</w:t>
      </w:r>
      <w:r>
        <w:rPr>
          <w:rFonts w:hint="eastAsia"/>
        </w:rPr>
        <w:t>及</w:t>
      </w:r>
      <w:r>
        <w:rPr>
          <w:rFonts w:hint="eastAsia" w:ascii="仿宋_GB2312"/>
        </w:rPr>
        <w:t>实施情况</w:t>
      </w:r>
    </w:p>
    <w:p>
      <w:pPr>
        <w:spacing w:line="360" w:lineRule="auto"/>
        <w:ind w:firstLine="600" w:firstLineChars="200"/>
        <w:rPr>
          <w:rFonts w:ascii="仿宋_GB2312"/>
          <w:color w:val="FF0000"/>
        </w:rPr>
      </w:pPr>
      <w:r>
        <w:rPr>
          <w:rFonts w:hint="eastAsia" w:ascii="仿宋_GB2312"/>
        </w:rPr>
        <w:t>主要内容：</w:t>
      </w:r>
      <w:r>
        <w:rPr>
          <w:rFonts w:hint="eastAsia" w:ascii="仿宋_GB2312"/>
          <w:color w:val="auto"/>
        </w:rPr>
        <w:t>制作对外推介招商投资手册，更新制作招商推介PPT、宣传片、推介小程序等，组织招商小分队点对点外出招商，前往内地省市举办招商引资推介会以及组织企业参加招商会、展会、推介会等活动。</w:t>
      </w:r>
    </w:p>
    <w:p>
      <w:pPr>
        <w:spacing w:line="360" w:lineRule="auto"/>
        <w:ind w:firstLine="600" w:firstLineChars="200"/>
        <w:rPr>
          <w:rFonts w:hint="eastAsia" w:ascii="仿宋_GB2312" w:eastAsia="仿宋_GB2312"/>
          <w:color w:val="auto"/>
          <w:lang w:eastAsia="zh-CN"/>
        </w:rPr>
      </w:pPr>
      <w:r>
        <w:rPr>
          <w:rFonts w:hint="eastAsia" w:ascii="仿宋_GB2312"/>
        </w:rPr>
        <w:t>实施情况：</w:t>
      </w:r>
      <w:r>
        <w:rPr>
          <w:rFonts w:hint="eastAsia" w:ascii="仿宋_GB2312"/>
          <w:lang w:eastAsia="zh-CN"/>
        </w:rPr>
        <w:t>招商引资投资</w:t>
      </w:r>
      <w:r>
        <w:rPr>
          <w:rFonts w:hint="eastAsia" w:ascii="仿宋_GB2312"/>
          <w:color w:val="auto"/>
        </w:rPr>
        <w:t>到位资金 56.9亿元，完成招商引资年度54亿元目标任务的105.37%。前后7次带队前往深圳、佛山、成都、内蒙古、江阴、无锡、西安等12个省市。项目落地后带动霍城县近千人就业</w:t>
      </w:r>
      <w:r>
        <w:rPr>
          <w:rFonts w:hint="eastAsia" w:ascii="仿宋_GB2312"/>
          <w:color w:val="auto"/>
          <w:lang w:eastAsia="zh-CN"/>
        </w:rPr>
        <w:t>。</w:t>
      </w:r>
    </w:p>
    <w:p>
      <w:pPr>
        <w:spacing w:line="360" w:lineRule="auto"/>
        <w:ind w:firstLine="600" w:firstLineChars="200"/>
        <w:rPr>
          <w:rFonts w:ascii="仿宋_GB2312"/>
        </w:rPr>
      </w:pPr>
      <w:r>
        <w:rPr>
          <w:rFonts w:ascii="仿宋_GB2312"/>
        </w:rPr>
        <w:t>3</w:t>
      </w:r>
      <w:r>
        <w:rPr>
          <w:rFonts w:hint="eastAsia" w:ascii="仿宋_GB2312"/>
          <w:lang w:val="en-US" w:eastAsia="zh-CN"/>
        </w:rPr>
        <w:t>.</w:t>
      </w:r>
      <w:r>
        <w:rPr>
          <w:rFonts w:hint="eastAsia" w:ascii="仿宋_GB2312"/>
        </w:rPr>
        <w:t>资金投入和使用情况</w:t>
      </w:r>
    </w:p>
    <w:p>
      <w:pPr>
        <w:spacing w:line="360" w:lineRule="auto"/>
        <w:ind w:firstLine="600" w:firstLineChars="200"/>
        <w:rPr>
          <w:color w:val="auto"/>
        </w:rPr>
      </w:pPr>
      <w:r>
        <w:rPr>
          <w:rFonts w:hint="eastAsia"/>
        </w:rPr>
        <w:t>资金投入情况：</w:t>
      </w:r>
      <w:r>
        <w:rPr>
          <w:rFonts w:hint="eastAsia"/>
          <w:color w:val="auto"/>
        </w:rPr>
        <w:t>该项目年初预算数</w:t>
      </w:r>
      <w:r>
        <w:rPr>
          <w:rFonts w:hint="eastAsia"/>
          <w:color w:val="auto"/>
          <w:lang w:val="en-US" w:eastAsia="zh-CN"/>
        </w:rPr>
        <w:t>50</w:t>
      </w:r>
      <w:r>
        <w:rPr>
          <w:rFonts w:hint="eastAsia"/>
          <w:color w:val="auto"/>
        </w:rPr>
        <w:t>万元，全年预算数</w:t>
      </w:r>
      <w:r>
        <w:rPr>
          <w:rFonts w:hint="eastAsia"/>
          <w:color w:val="auto"/>
          <w:lang w:val="en-US" w:eastAsia="zh-CN"/>
        </w:rPr>
        <w:t>36.12</w:t>
      </w:r>
      <w:r>
        <w:rPr>
          <w:rFonts w:hint="eastAsia"/>
          <w:color w:val="auto"/>
        </w:rPr>
        <w:t>万元，实际总投入</w:t>
      </w:r>
      <w:r>
        <w:rPr>
          <w:rFonts w:hint="eastAsia"/>
          <w:color w:val="auto"/>
          <w:lang w:val="en-US" w:eastAsia="zh-CN"/>
        </w:rPr>
        <w:t>36.12</w:t>
      </w:r>
      <w:r>
        <w:rPr>
          <w:rFonts w:hint="eastAsia"/>
          <w:color w:val="auto"/>
        </w:rPr>
        <w:t>万元，该项目资金已全部落实到位</w:t>
      </w:r>
      <w:r>
        <w:rPr>
          <w:rFonts w:hint="eastAsia"/>
          <w:color w:val="auto"/>
          <w:lang w:eastAsia="zh-CN"/>
        </w:rPr>
        <w:t>，</w:t>
      </w:r>
      <w:r>
        <w:rPr>
          <w:rFonts w:hint="eastAsia"/>
          <w:color w:val="auto"/>
        </w:rPr>
        <w:t>资金来</w:t>
      </w:r>
      <w:r>
        <w:rPr>
          <w:rFonts w:hint="eastAsia"/>
          <w:color w:val="auto"/>
          <w:highlight w:val="none"/>
        </w:rPr>
        <w:t>源为</w:t>
      </w:r>
      <w:r>
        <w:rPr>
          <w:rFonts w:hint="eastAsia"/>
          <w:color w:val="auto"/>
          <w:highlight w:val="none"/>
          <w:lang w:eastAsia="zh-CN"/>
        </w:rPr>
        <w:t>财政拨款</w:t>
      </w:r>
      <w:r>
        <w:rPr>
          <w:rFonts w:hint="eastAsia"/>
          <w:color w:val="auto"/>
        </w:rPr>
        <w:t>。</w:t>
      </w:r>
    </w:p>
    <w:p>
      <w:pPr>
        <w:spacing w:line="360" w:lineRule="auto"/>
        <w:ind w:firstLine="600" w:firstLineChars="200"/>
        <w:rPr>
          <w:color w:val="auto"/>
        </w:rPr>
      </w:pPr>
      <w:r>
        <w:rPr>
          <w:rFonts w:hint="eastAsia"/>
        </w:rPr>
        <w:t>资金使用情况：</w:t>
      </w:r>
      <w:r>
        <w:rPr>
          <w:rFonts w:hint="eastAsia"/>
          <w:color w:val="auto"/>
        </w:rPr>
        <w:t>该项目年初预算数</w:t>
      </w:r>
      <w:r>
        <w:rPr>
          <w:rFonts w:hint="eastAsia"/>
          <w:color w:val="auto"/>
          <w:lang w:val="en-US" w:eastAsia="zh-CN"/>
        </w:rPr>
        <w:t>50</w:t>
      </w:r>
      <w:r>
        <w:rPr>
          <w:rFonts w:hint="eastAsia"/>
          <w:color w:val="auto"/>
        </w:rPr>
        <w:t>万元，全年预算数</w:t>
      </w:r>
      <w:r>
        <w:rPr>
          <w:rFonts w:hint="eastAsia"/>
          <w:color w:val="auto"/>
          <w:lang w:val="en-US" w:eastAsia="zh-CN"/>
        </w:rPr>
        <w:t>36.12</w:t>
      </w:r>
      <w:r>
        <w:rPr>
          <w:rFonts w:hint="eastAsia"/>
          <w:color w:val="auto"/>
        </w:rPr>
        <w:t>万元，全年执行数</w:t>
      </w:r>
      <w:r>
        <w:rPr>
          <w:rFonts w:hint="eastAsia"/>
          <w:color w:val="auto"/>
          <w:lang w:val="en-US" w:eastAsia="zh-CN"/>
        </w:rPr>
        <w:t>36.12</w:t>
      </w:r>
      <w:r>
        <w:rPr>
          <w:rFonts w:hint="eastAsia"/>
          <w:color w:val="auto"/>
        </w:rPr>
        <w:t>万元，预算执行率为</w:t>
      </w:r>
      <w:r>
        <w:rPr>
          <w:rFonts w:hint="eastAsia"/>
          <w:color w:val="auto"/>
          <w:lang w:val="en-US" w:eastAsia="zh-CN"/>
        </w:rPr>
        <w:t>100</w:t>
      </w:r>
      <w:r>
        <w:rPr>
          <w:rFonts w:hint="eastAsia"/>
          <w:color w:val="auto"/>
        </w:rPr>
        <w:t>%，用于：每次外出招商费用</w:t>
      </w:r>
      <w:r>
        <w:rPr>
          <w:rFonts w:hint="eastAsia"/>
          <w:color w:val="auto"/>
          <w:lang w:val="en-US" w:eastAsia="zh-CN"/>
        </w:rPr>
        <w:t>4万，总共7次</w:t>
      </w:r>
      <w:r>
        <w:rPr>
          <w:rFonts w:hint="eastAsia"/>
          <w:color w:val="auto"/>
          <w:lang w:eastAsia="zh-CN"/>
        </w:rPr>
        <w:t>及每次签单接待支出</w:t>
      </w:r>
      <w:r>
        <w:rPr>
          <w:rFonts w:hint="eastAsia"/>
          <w:color w:val="auto"/>
          <w:lang w:val="en-US" w:eastAsia="zh-CN"/>
        </w:rPr>
        <w:t>1万，共计8次</w:t>
      </w:r>
      <w:r>
        <w:rPr>
          <w:rFonts w:hint="eastAsia"/>
          <w:color w:val="auto"/>
        </w:rPr>
        <w:t>。</w:t>
      </w:r>
    </w:p>
    <w:p>
      <w:pPr>
        <w:pStyle w:val="3"/>
        <w:spacing w:line="360" w:lineRule="auto"/>
        <w:ind w:firstLine="640" w:firstLineChars="200"/>
        <w:rPr>
          <w:rFonts w:hint="eastAsia" w:ascii="仿宋_GB2312" w:eastAsia="仿宋_GB2312"/>
          <w:b w:val="0"/>
          <w:bCs w:val="0"/>
        </w:rPr>
      </w:pPr>
      <w:bookmarkStart w:id="2" w:name="_Toc68703829"/>
      <w:r>
        <w:rPr>
          <w:rFonts w:hint="eastAsia" w:ascii="仿宋_GB2312" w:eastAsia="仿宋_GB2312"/>
          <w:b w:val="0"/>
          <w:bCs w:val="0"/>
        </w:rPr>
        <w:t>（二）项目绩效目标。</w:t>
      </w:r>
      <w:bookmarkEnd w:id="2"/>
    </w:p>
    <w:p>
      <w:pPr>
        <w:spacing w:line="360" w:lineRule="auto"/>
        <w:ind w:firstLine="600" w:firstLineChars="200"/>
      </w:pPr>
      <w:r>
        <w:rPr>
          <w:rFonts w:hint="eastAsia"/>
        </w:rPr>
        <w:t>1</w:t>
      </w:r>
      <w:r>
        <w:rPr>
          <w:rFonts w:hint="eastAsia"/>
          <w:lang w:val="en-US" w:eastAsia="zh-CN"/>
        </w:rPr>
        <w:t>.</w:t>
      </w:r>
      <w:r>
        <w:rPr>
          <w:rFonts w:hint="eastAsia"/>
        </w:rPr>
        <w:t>总体目标：</w:t>
      </w:r>
      <w:r>
        <w:rPr>
          <w:rFonts w:hint="eastAsia"/>
          <w:color w:val="auto"/>
        </w:rPr>
        <w:t>霍党办发【2019】33号关于印发《霍城县商务和个信息化局智能配置、内设机构和人员编制规定》的通知。项目主要计划制作对外推介招商投资手册，更新制作招商推介PPT、宣传片、推介小程序等，组织招商小分队点对点外出招商，前往内地省市举办招商引资推介会以及组织企业参加招商会、展会、推介会等活动。</w:t>
      </w:r>
    </w:p>
    <w:p>
      <w:pPr>
        <w:spacing w:line="360" w:lineRule="auto"/>
        <w:ind w:firstLine="600" w:firstLineChars="200"/>
        <w:rPr>
          <w:rFonts w:hint="eastAsia" w:eastAsia="仿宋_GB2312"/>
          <w:lang w:eastAsia="zh-CN"/>
        </w:rPr>
      </w:pPr>
      <w:r>
        <w:t>2</w:t>
      </w:r>
      <w:r>
        <w:rPr>
          <w:rFonts w:hint="eastAsia"/>
          <w:lang w:val="en-US" w:eastAsia="zh-CN"/>
        </w:rPr>
        <w:t>.</w:t>
      </w:r>
      <w:r>
        <w:rPr>
          <w:rFonts w:hint="eastAsia"/>
        </w:rPr>
        <w:t>阶段性目标：</w:t>
      </w:r>
      <w:r>
        <w:rPr>
          <w:rFonts w:hint="eastAsia"/>
          <w:color w:val="auto"/>
        </w:rPr>
        <w:t>招商引资投资到位资金 56.9亿元，完成招商引资年度54亿元目标任务的105.37%。前后7次带队前往深圳、佛山、成都、内蒙古、江阴、无锡、西安等12个省市。项目落地后带动霍城县近千人就业。</w:t>
      </w:r>
    </w:p>
    <w:p>
      <w:pPr>
        <w:pStyle w:val="2"/>
        <w:spacing w:line="360" w:lineRule="auto"/>
        <w:rPr>
          <w:rFonts w:ascii="宋体" w:hAnsi="宋体" w:eastAsia="宋体"/>
          <w:sz w:val="32"/>
          <w:szCs w:val="32"/>
        </w:rPr>
      </w:pPr>
      <w:bookmarkStart w:id="3" w:name="_Toc68703830"/>
      <w:r>
        <w:rPr>
          <w:rFonts w:hint="eastAsia" w:ascii="宋体" w:hAnsi="宋体" w:eastAsia="宋体"/>
          <w:sz w:val="32"/>
          <w:szCs w:val="32"/>
        </w:rPr>
        <w:t>二、绩效评价工作开展情况</w:t>
      </w:r>
      <w:bookmarkEnd w:id="3"/>
    </w:p>
    <w:p>
      <w:pPr>
        <w:pStyle w:val="3"/>
        <w:spacing w:line="360" w:lineRule="auto"/>
        <w:rPr>
          <w:rFonts w:hint="eastAsia" w:ascii="仿宋_GB2312" w:eastAsia="仿宋_GB2312"/>
          <w:b w:val="0"/>
          <w:bCs w:val="0"/>
        </w:rPr>
      </w:pPr>
      <w:bookmarkStart w:id="4" w:name="_Toc68703831"/>
      <w:r>
        <w:rPr>
          <w:rFonts w:hint="eastAsia" w:ascii="仿宋_GB2312" w:eastAsia="仿宋_GB2312"/>
          <w:b w:val="0"/>
          <w:bCs w:val="0"/>
        </w:rPr>
        <w:t>（一）绩效评价目的、对象和范围。</w:t>
      </w:r>
      <w:bookmarkEnd w:id="4"/>
    </w:p>
    <w:p>
      <w:pPr>
        <w:spacing w:line="360" w:lineRule="auto"/>
      </w:pPr>
      <w:r>
        <w:rPr>
          <w:rFonts w:hint="eastAsia"/>
        </w:rPr>
        <w:t>1</w:t>
      </w:r>
      <w:r>
        <w:rPr>
          <w:rFonts w:hint="eastAsia"/>
          <w:lang w:val="en-US" w:eastAsia="zh-CN"/>
        </w:rPr>
        <w:t>.</w:t>
      </w:r>
      <w:r>
        <w:rPr>
          <w:rFonts w:hint="eastAsia"/>
        </w:rPr>
        <w:t>绩效评价目的：</w:t>
      </w:r>
    </w:p>
    <w:p>
      <w:pPr>
        <w:spacing w:line="360" w:lineRule="auto"/>
        <w:ind w:firstLine="640" w:firstLineChars="200"/>
        <w:jc w:val="left"/>
        <w:rPr>
          <w:rFonts w:ascii="仿宋_GB2312"/>
          <w:bCs/>
          <w:color w:val="auto"/>
          <w:sz w:val="32"/>
          <w:szCs w:val="32"/>
        </w:rPr>
      </w:pPr>
      <w:r>
        <w:rPr>
          <w:rFonts w:hint="eastAsia" w:ascii="仿宋_GB2312"/>
          <w:bCs/>
          <w:color w:val="auto"/>
          <w:sz w:val="32"/>
          <w:szCs w:val="32"/>
        </w:rPr>
        <w:t>通过绩效评价，客观地评判项目的管理绩效，了解和掌握</w:t>
      </w:r>
      <w:r>
        <w:rPr>
          <w:rFonts w:hint="eastAsia" w:ascii="仿宋_GB2312"/>
          <w:bCs/>
          <w:color w:val="auto"/>
          <w:sz w:val="32"/>
          <w:szCs w:val="32"/>
          <w:lang w:val="en-US" w:eastAsia="zh-CN"/>
        </w:rPr>
        <w:t>2022年招商引资项目专项</w:t>
      </w:r>
      <w:r>
        <w:rPr>
          <w:rFonts w:hint="eastAsia" w:ascii="仿宋_GB2312"/>
          <w:bCs/>
          <w:color w:val="auto"/>
          <w:sz w:val="32"/>
          <w:szCs w:val="32"/>
        </w:rPr>
        <w:t>经费的具体情况，评价该项目资金安排的科学性、合理性、规范性和资金的使用成效，及时总结项目管理经验，完善项目管理办法，提高项目管理水平和资金使用效益。促使我</w:t>
      </w:r>
      <w:r>
        <w:rPr>
          <w:rFonts w:hint="eastAsia" w:ascii="仿宋_GB2312"/>
          <w:bCs/>
          <w:color w:val="auto"/>
          <w:sz w:val="32"/>
          <w:szCs w:val="32"/>
          <w:lang w:val="en-US" w:eastAsia="zh-CN"/>
        </w:rPr>
        <w:t>单位</w:t>
      </w:r>
      <w:r>
        <w:rPr>
          <w:rFonts w:hint="eastAsia" w:ascii="仿宋_GB2312"/>
          <w:bCs/>
          <w:color w:val="auto"/>
          <w:sz w:val="32"/>
          <w:szCs w:val="32"/>
        </w:rPr>
        <w:t>根据绩效评价中发现的问题，认真加以整改，及时调整和完善单位的工作计划并加强项目</w:t>
      </w:r>
      <w:r>
        <w:rPr>
          <w:rFonts w:hint="eastAsia" w:ascii="仿宋_GB2312"/>
          <w:bCs/>
          <w:color w:val="auto"/>
          <w:sz w:val="32"/>
          <w:szCs w:val="32"/>
          <w:lang w:val="en-US" w:eastAsia="zh-CN"/>
        </w:rPr>
        <w:t>绩效</w:t>
      </w:r>
      <w:r>
        <w:rPr>
          <w:rFonts w:hint="eastAsia" w:ascii="仿宋_GB2312"/>
          <w:bCs/>
          <w:color w:val="auto"/>
          <w:sz w:val="32"/>
          <w:szCs w:val="32"/>
        </w:rPr>
        <w:t>管理，同时为项目后续资金投入、分配和管理提供决策依据。</w:t>
      </w:r>
    </w:p>
    <w:p>
      <w:pPr>
        <w:spacing w:line="360" w:lineRule="auto"/>
        <w:ind w:firstLine="600" w:firstLineChars="200"/>
        <w:jc w:val="left"/>
      </w:pPr>
      <w:r>
        <w:rPr>
          <w:rFonts w:hint="eastAsia"/>
        </w:rPr>
        <w:t>2</w:t>
      </w:r>
      <w:r>
        <w:rPr>
          <w:rFonts w:hint="eastAsia"/>
          <w:lang w:val="en-US" w:eastAsia="zh-CN"/>
        </w:rPr>
        <w:t>.</w:t>
      </w:r>
      <w:r>
        <w:rPr>
          <w:rFonts w:hint="eastAsia"/>
        </w:rPr>
        <w:t>绩效评价对象：</w:t>
      </w:r>
    </w:p>
    <w:p>
      <w:pPr>
        <w:spacing w:line="360" w:lineRule="auto"/>
        <w:ind w:firstLine="600" w:firstLineChars="200"/>
        <w:rPr>
          <w:rFonts w:hint="default" w:eastAsia="仿宋_GB2312"/>
          <w:color w:val="auto"/>
          <w:lang w:val="en-US" w:eastAsia="zh-CN"/>
        </w:rPr>
      </w:pPr>
      <w:r>
        <w:rPr>
          <w:rFonts w:hint="eastAsia"/>
          <w:color w:val="auto"/>
          <w:lang w:val="en-US" w:eastAsia="zh-CN"/>
        </w:rPr>
        <w:t>2022年招商引资项目专项经费</w:t>
      </w:r>
    </w:p>
    <w:p>
      <w:pPr>
        <w:spacing w:line="360" w:lineRule="auto"/>
        <w:ind w:firstLine="600" w:firstLineChars="200"/>
      </w:pPr>
      <w:r>
        <w:rPr>
          <w:rFonts w:hint="eastAsia"/>
        </w:rPr>
        <w:t>3</w:t>
      </w:r>
      <w:r>
        <w:rPr>
          <w:rFonts w:hint="eastAsia"/>
          <w:lang w:val="en-US" w:eastAsia="zh-CN"/>
        </w:rPr>
        <w:t>.</w:t>
      </w:r>
      <w:r>
        <w:rPr>
          <w:rFonts w:hint="eastAsia"/>
        </w:rPr>
        <w:t>绩效评价范围：</w:t>
      </w:r>
    </w:p>
    <w:p>
      <w:pPr>
        <w:spacing w:line="360" w:lineRule="auto"/>
        <w:ind w:firstLine="600" w:firstLineChars="200"/>
      </w:pPr>
      <w:r>
        <w:rPr>
          <w:rFonts w:hint="eastAsia"/>
          <w:color w:val="auto"/>
        </w:rPr>
        <w:t>本次评价从项目决策（包括绩效目标、决策过程）、项目管理（包括项目资金、项目实施）、项目产出（包括项目产出数量、产出质量、产出时效和产出成本）项目效益四个维度进行</w:t>
      </w:r>
      <w:r>
        <w:rPr>
          <w:rFonts w:hint="eastAsia"/>
          <w:color w:val="auto"/>
          <w:lang w:val="en-US" w:eastAsia="zh-CN"/>
        </w:rPr>
        <w:t>2022年招商引资项目专项经费</w:t>
      </w:r>
      <w:r>
        <w:rPr>
          <w:rFonts w:hint="eastAsia"/>
          <w:color w:val="auto"/>
        </w:rPr>
        <w:t>评价，评价核心为资金的支出完成情况和效果。</w:t>
      </w:r>
    </w:p>
    <w:p>
      <w:pPr>
        <w:pStyle w:val="3"/>
        <w:spacing w:line="360" w:lineRule="auto"/>
        <w:rPr>
          <w:rFonts w:hint="eastAsia" w:ascii="仿宋_GB2312" w:eastAsia="仿宋_GB2312"/>
          <w:b w:val="0"/>
          <w:bCs w:val="0"/>
        </w:rPr>
      </w:pPr>
      <w:bookmarkStart w:id="5" w:name="_Toc68703832"/>
      <w:r>
        <w:rPr>
          <w:rFonts w:hint="eastAsia" w:ascii="仿宋_GB2312" w:eastAsia="仿宋_GB2312"/>
          <w:b w:val="0"/>
          <w:bCs w:val="0"/>
        </w:rPr>
        <w:t>（二）绩效评价原则、评价指标体系、评价方法、评价标准等。</w:t>
      </w:r>
      <w:bookmarkEnd w:id="5"/>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绩效评价原则</w:t>
      </w:r>
    </w:p>
    <w:p>
      <w:pPr>
        <w:spacing w:line="600" w:lineRule="exact"/>
        <w:ind w:firstLine="640"/>
        <w:rPr>
          <w:rFonts w:ascii="仿宋_GB2312"/>
          <w:bCs/>
          <w:color w:val="auto"/>
          <w:sz w:val="32"/>
          <w:szCs w:val="32"/>
        </w:rPr>
      </w:pPr>
      <w:r>
        <w:rPr>
          <w:rFonts w:hint="eastAsia" w:ascii="仿宋_GB2312"/>
          <w:bCs/>
          <w:color w:val="auto"/>
          <w:sz w:val="32"/>
          <w:szCs w:val="32"/>
        </w:rPr>
        <w:t>（一）科学公正。本次项目支出绩效评价运用科学合理的方法，按照规范的程序，对项目绩效进行客观、公正的反映。</w:t>
      </w:r>
    </w:p>
    <w:p>
      <w:pPr>
        <w:spacing w:line="600" w:lineRule="exact"/>
        <w:ind w:firstLine="640"/>
        <w:rPr>
          <w:rFonts w:ascii="仿宋_GB2312"/>
          <w:bCs/>
          <w:color w:val="auto"/>
          <w:sz w:val="32"/>
          <w:szCs w:val="32"/>
        </w:rPr>
      </w:pPr>
      <w:r>
        <w:rPr>
          <w:rFonts w:hint="eastAsia" w:ascii="仿宋_GB2312"/>
          <w:bCs/>
          <w:color w:val="auto"/>
          <w:sz w:val="32"/>
          <w:szCs w:val="32"/>
        </w:rPr>
        <w:t>（二）统筹兼顾。本次项目支出绩效评价由本单位自主实施，即“谁支出、谁自评”。</w:t>
      </w:r>
    </w:p>
    <w:p>
      <w:pPr>
        <w:spacing w:line="600" w:lineRule="exact"/>
        <w:ind w:firstLine="640"/>
        <w:rPr>
          <w:rFonts w:ascii="仿宋_GB2312"/>
          <w:bCs/>
          <w:color w:val="auto"/>
          <w:sz w:val="32"/>
          <w:szCs w:val="32"/>
        </w:rPr>
      </w:pPr>
      <w:r>
        <w:rPr>
          <w:rFonts w:hint="eastAsia" w:ascii="仿宋_GB2312"/>
          <w:bCs/>
          <w:color w:val="auto"/>
          <w:sz w:val="32"/>
          <w:szCs w:val="32"/>
        </w:rPr>
        <w:t>（三）激励约束。本次项目支出绩效评价结果与预算安排、政策调整、改进管理实质性挂钩，体现奖优罚劣和激励相容导向，有效要安排、低效要压减、无效要问责。</w:t>
      </w:r>
    </w:p>
    <w:p>
      <w:pPr>
        <w:spacing w:line="600" w:lineRule="exact"/>
        <w:ind w:firstLine="640"/>
        <w:rPr>
          <w:rFonts w:ascii="仿宋_GB2312"/>
          <w:bCs/>
          <w:color w:val="auto"/>
          <w:sz w:val="32"/>
          <w:szCs w:val="32"/>
        </w:rPr>
      </w:pPr>
      <w:r>
        <w:rPr>
          <w:rFonts w:hint="eastAsia" w:ascii="仿宋_GB2312"/>
          <w:bCs/>
          <w:color w:val="auto"/>
          <w:sz w:val="32"/>
          <w:szCs w:val="32"/>
        </w:rPr>
        <w:t>（四）公开透明。本次项目支出绩效评价结果</w:t>
      </w:r>
      <w:r>
        <w:rPr>
          <w:rFonts w:hint="eastAsia" w:ascii="仿宋_GB2312"/>
          <w:bCs/>
          <w:color w:val="auto"/>
          <w:sz w:val="32"/>
          <w:szCs w:val="32"/>
          <w:lang w:eastAsia="zh-CN"/>
        </w:rPr>
        <w:t>已依法依规公开在霍城县人民政府网站上，</w:t>
      </w:r>
      <w:r>
        <w:rPr>
          <w:rFonts w:hint="eastAsia" w:ascii="仿宋_GB2312"/>
          <w:bCs/>
          <w:color w:val="auto"/>
          <w:sz w:val="32"/>
          <w:szCs w:val="32"/>
        </w:rPr>
        <w:t>自觉接受社会监督。</w:t>
      </w:r>
    </w:p>
    <w:p>
      <w:pPr>
        <w:spacing w:line="360" w:lineRule="auto"/>
      </w:pPr>
    </w:p>
    <w:p>
      <w:pPr>
        <w:spacing w:line="360" w:lineRule="auto"/>
        <w:ind w:firstLine="600" w:firstLineChars="200"/>
        <w:jc w:val="left"/>
        <w:rPr>
          <w:rFonts w:hint="eastAsia"/>
        </w:rPr>
      </w:pPr>
      <w:r>
        <w:rPr>
          <w:rFonts w:hint="eastAsia"/>
        </w:rPr>
        <w:t>2</w:t>
      </w:r>
      <w:r>
        <w:rPr>
          <w:rFonts w:hint="eastAsia"/>
          <w:lang w:val="en-US" w:eastAsia="zh-CN"/>
        </w:rPr>
        <w:t>.</w:t>
      </w:r>
      <w:r>
        <w:rPr>
          <w:rFonts w:hint="eastAsia"/>
        </w:rPr>
        <w:t>评价指标体系（附表说明）</w:t>
      </w:r>
    </w:p>
    <w:p>
      <w:pPr>
        <w:pStyle w:val="3"/>
        <w:spacing w:before="0" w:after="0" w:line="240" w:lineRule="auto"/>
        <w:jc w:val="center"/>
        <w:rPr>
          <w:rFonts w:ascii="Times New Roman" w:hAnsi="Times New Roman" w:eastAsia="仿宋_GB2312" w:cs="Times New Roman"/>
          <w:b w:val="0"/>
          <w:bCs w:val="0"/>
          <w:sz w:val="30"/>
          <w:szCs w:val="24"/>
        </w:rPr>
      </w:pPr>
      <w:r>
        <w:rPr>
          <w:rFonts w:hint="eastAsia" w:ascii="Times New Roman" w:hAnsi="Times New Roman" w:eastAsia="仿宋_GB2312" w:cs="Times New Roman"/>
          <w:b w:val="0"/>
          <w:bCs w:val="0"/>
          <w:sz w:val="30"/>
          <w:szCs w:val="24"/>
        </w:rPr>
        <w:t>2022年招商引资项目支出绩效评价指标体系</w:t>
      </w:r>
    </w:p>
    <w:tbl>
      <w:tblPr>
        <w:tblStyle w:val="8"/>
        <w:tblW w:w="9859" w:type="dxa"/>
        <w:jc w:val="center"/>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Layout w:type="fixed"/>
        <w:tblCellMar>
          <w:top w:w="0" w:type="dxa"/>
          <w:left w:w="108" w:type="dxa"/>
          <w:bottom w:w="0" w:type="dxa"/>
          <w:right w:w="108" w:type="dxa"/>
        </w:tblCellMar>
      </w:tblPr>
      <w:tblGrid>
        <w:gridCol w:w="757"/>
        <w:gridCol w:w="1478"/>
        <w:gridCol w:w="1875"/>
        <w:gridCol w:w="3885"/>
        <w:gridCol w:w="990"/>
        <w:gridCol w:w="874"/>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92" w:hRule="atLeast"/>
          <w:tblHeader/>
          <w:jc w:val="center"/>
        </w:trPr>
        <w:tc>
          <w:tcPr>
            <w:tcW w:w="757"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一级指标</w:t>
            </w:r>
          </w:p>
        </w:tc>
        <w:tc>
          <w:tcPr>
            <w:tcW w:w="1478" w:type="dxa"/>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二级指标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eastAsia="宋体" w:cs="宋体"/>
                <w:b/>
                <w:bCs/>
                <w:color w:val="000000"/>
                <w:kern w:val="0"/>
                <w:sz w:val="22"/>
              </w:rPr>
            </w:pPr>
            <w:r>
              <w:rPr>
                <w:rFonts w:hint="eastAsia" w:ascii="宋体" w:hAnsi="宋体" w:eastAsia="宋体" w:cs="宋体"/>
                <w:b/>
                <w:bCs/>
                <w:color w:val="000000"/>
                <w:kern w:val="0"/>
                <w:sz w:val="22"/>
              </w:rPr>
              <w:t>三级指标</w:t>
            </w:r>
          </w:p>
        </w:tc>
        <w:tc>
          <w:tcPr>
            <w:tcW w:w="3885" w:type="dxa"/>
            <w:tcBorders>
              <w:righ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指标解释</w:t>
            </w:r>
          </w:p>
        </w:tc>
        <w:tc>
          <w:tcPr>
            <w:tcW w:w="990" w:type="dxa"/>
            <w:tcBorders>
              <w:left w:val="single" w:color="auto" w:sz="4" w:space="0"/>
            </w:tcBorders>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分值</w:t>
            </w:r>
          </w:p>
        </w:tc>
        <w:tc>
          <w:tcPr>
            <w:tcW w:w="874" w:type="dxa"/>
            <w:shd w:val="clear" w:color="auto" w:fill="FFFFFF"/>
          </w:tcPr>
          <w:p>
            <w:pPr>
              <w:widowControl/>
              <w:spacing w:line="600" w:lineRule="auto"/>
              <w:jc w:val="center"/>
              <w:rPr>
                <w:rFonts w:ascii="宋体" w:hAnsi="宋体" w:eastAsia="宋体" w:cs="宋体"/>
                <w:b/>
                <w:bCs/>
                <w:color w:val="000000"/>
                <w:kern w:val="0"/>
                <w:sz w:val="22"/>
              </w:rPr>
            </w:pPr>
            <w:r>
              <w:rPr>
                <w:rFonts w:hint="eastAsia" w:ascii="宋体" w:hAnsi="宋体" w:eastAsia="宋体" w:cs="宋体"/>
                <w:b/>
                <w:bCs/>
                <w:color w:val="000000"/>
                <w:kern w:val="0"/>
                <w:sz w:val="22"/>
              </w:rPr>
              <w:t>得分</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9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决策</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立项依据</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充分性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项目立项是否符合法律法规、相关政策、发展规划以及部门职责，用以反映和考核项目立项依据情况。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立项程序</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规范性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项目申请、设立过程是否符合相关要求，用以反映和考核项目立项的规范情况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auto"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13"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绩效目标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项目所设定的绩效目标是否依据充分，是否符合客观实际，用以反映和考核项目绩效目标与项目实施的相符情况。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shd w:val="clear" w:color="000000"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93"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绩效指标</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明确性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依据绩效目标设定的绩效指标是否清晰、细化、可衡量等，用以反映和考核项目绩效目标的明细化情况。</w:t>
            </w:r>
          </w:p>
        </w:tc>
        <w:tc>
          <w:tcPr>
            <w:tcW w:w="990" w:type="dxa"/>
            <w:tcBorders>
              <w:left w:val="single" w:color="auto" w:sz="4" w:space="0"/>
            </w:tcBorders>
            <w:shd w:val="clear" w:color="000000"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000000"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01"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资金投入</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预算编制</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科学性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项目预算编制是否经过科学论证、有明确标准，资金额度与年度目标是否相适应，用以反映和考核项目预算编制的科学性、合理性情况。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4</w:t>
            </w:r>
          </w:p>
        </w:tc>
        <w:tc>
          <w:tcPr>
            <w:tcW w:w="874" w:type="dxa"/>
            <w:tcBorders>
              <w:bottom w:val="single" w:color="auto" w:sz="4" w:space="0"/>
            </w:tcBorders>
            <w:shd w:val="clear" w:color="auto"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5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资金分配</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合理性</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项目预算资金分配是否有测算依据，与补助单位或地方实际是否相适应，用以反映和考核项目预算资金分配的科学性、合理性情况。</w:t>
            </w:r>
          </w:p>
        </w:tc>
        <w:tc>
          <w:tcPr>
            <w:tcW w:w="990" w:type="dxa"/>
            <w:tcBorders>
              <w:left w:val="single" w:color="auto" w:sz="4" w:space="0"/>
            </w:tcBorders>
            <w:shd w:val="clear" w:color="auto" w:fill="FFFFFF"/>
          </w:tcPr>
          <w:p>
            <w:pPr>
              <w:spacing w:line="600" w:lineRule="auto"/>
              <w:jc w:val="center"/>
              <w:rPr>
                <w:rFonts w:hint="eastAsia" w:eastAsia="仿宋_GB2312"/>
                <w:lang w:val="en-US" w:eastAsia="zh-CN"/>
              </w:rPr>
            </w:pPr>
            <w:r>
              <w:rPr>
                <w:rFonts w:hint="eastAsia"/>
                <w:lang w:val="en-US" w:eastAsia="zh-CN"/>
              </w:rPr>
              <w:t>5</w:t>
            </w:r>
          </w:p>
        </w:tc>
        <w:tc>
          <w:tcPr>
            <w:tcW w:w="874" w:type="dxa"/>
            <w:shd w:val="clear" w:color="auto"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8" w:hRule="atLeast"/>
          <w:jc w:val="center"/>
        </w:trPr>
        <w:tc>
          <w:tcPr>
            <w:tcW w:w="757" w:type="dxa"/>
            <w:vMerge w:val="restart"/>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过程</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资金到位率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实际到位资金与预算资金的比率，用以反映和考核资金落实情况对项目实施的总体保障程度。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5</w:t>
            </w:r>
          </w:p>
        </w:tc>
        <w:tc>
          <w:tcPr>
            <w:tcW w:w="874" w:type="dxa"/>
            <w:tcBorders>
              <w:bottom w:val="single" w:color="auto" w:sz="4" w:space="0"/>
            </w:tcBorders>
            <w:shd w:val="clear" w:color="000000"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682"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预算执行率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项目预算资金是否按照计划执行，用以反映或考核项目预算执行情况</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5</w:t>
            </w:r>
          </w:p>
        </w:tc>
        <w:tc>
          <w:tcPr>
            <w:tcW w:w="874" w:type="dxa"/>
            <w:tcBorders>
              <w:bottom w:val="single" w:color="auto" w:sz="4" w:space="0"/>
            </w:tcBorders>
            <w:shd w:val="clear" w:color="auto"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7"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资金管理</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资金使用</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合规性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项目资金使用是否符合相关的财务管理制度规定，用以反映和考核项目资金的规范运行情况。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5</w:t>
            </w:r>
          </w:p>
        </w:tc>
        <w:tc>
          <w:tcPr>
            <w:tcW w:w="874" w:type="dxa"/>
            <w:tcBorders>
              <w:bottom w:val="single" w:color="auto" w:sz="4" w:space="0"/>
            </w:tcBorders>
            <w:shd w:val="clear" w:color="000000"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86"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组织实施</w:t>
            </w:r>
          </w:p>
          <w:p>
            <w:pPr>
              <w:spacing w:line="0" w:lineRule="atLeast"/>
              <w:jc w:val="center"/>
              <w:rPr>
                <w:rFonts w:ascii="宋体" w:hAnsi="宋体" w:cs="宋体"/>
                <w:color w:val="000000"/>
                <w:kern w:val="0"/>
                <w:sz w:val="22"/>
              </w:rPr>
            </w:pPr>
            <w:r>
              <w:rPr>
                <w:rFonts w:hint="eastAsia" w:ascii="宋体" w:hAnsi="宋体" w:cs="宋体"/>
                <w:color w:val="000000"/>
                <w:kern w:val="0"/>
                <w:sz w:val="22"/>
              </w:rPr>
              <w:t>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管理制度</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健全性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项目实施单位的财务和业务管理制度是否健全，用以反映和考核财务和业务管理制度对项目顺利实施的保障情况。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5</w:t>
            </w:r>
          </w:p>
        </w:tc>
        <w:tc>
          <w:tcPr>
            <w:tcW w:w="874" w:type="dxa"/>
            <w:tcBorders>
              <w:bottom w:val="single" w:color="auto" w:sz="4" w:space="0"/>
            </w:tcBorders>
            <w:shd w:val="clear" w:color="000000"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777"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制度执行</w:t>
            </w:r>
          </w:p>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有效性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项目实施是否符合相关管理规定，用以反映和考核相关管理制度的有效执行情况。</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5</w:t>
            </w:r>
          </w:p>
        </w:tc>
        <w:tc>
          <w:tcPr>
            <w:tcW w:w="874" w:type="dxa"/>
            <w:tcBorders>
              <w:bottom w:val="single" w:color="auto" w:sz="4" w:space="0"/>
            </w:tcBorders>
            <w:shd w:val="clear" w:color="000000"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36"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w:t>
            </w: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产出数量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实际完成率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项目实施的实际产出数与计划产出数的比率，用以反映和考核项目产出数量目标的实现程度。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6</w:t>
            </w:r>
          </w:p>
        </w:tc>
        <w:tc>
          <w:tcPr>
            <w:tcW w:w="874" w:type="dxa"/>
            <w:shd w:val="clear" w:color="000000"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44"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产出质量</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质量达标率</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项目完成的质量达标产出数与实际产出数的比率，用以反映和考核项目产出质量目标的实现程度。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6</w:t>
            </w:r>
          </w:p>
        </w:tc>
        <w:tc>
          <w:tcPr>
            <w:tcW w:w="874" w:type="dxa"/>
            <w:shd w:val="clear" w:color="000000"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09" w:hRule="atLeast"/>
          <w:jc w:val="center"/>
        </w:trPr>
        <w:tc>
          <w:tcPr>
            <w:tcW w:w="757" w:type="dxa"/>
            <w:vMerge w:val="continue"/>
            <w:shd w:val="clear" w:color="auto" w:fill="FFFFFF"/>
            <w:vAlign w:val="center"/>
          </w:tcPr>
          <w:p>
            <w:pPr>
              <w:spacing w:line="0" w:lineRule="atLeast"/>
              <w:jc w:val="center"/>
              <w:rPr>
                <w:rFonts w:ascii="宋体" w:hAnsi="宋体" w:cs="宋体"/>
                <w:color w:val="000000"/>
                <w:kern w:val="0"/>
                <w:sz w:val="22"/>
              </w:rPr>
            </w:pPr>
          </w:p>
        </w:tc>
        <w:tc>
          <w:tcPr>
            <w:tcW w:w="1478" w:type="dxa"/>
            <w:shd w:val="clear" w:color="auto" w:fill="FFFFFF"/>
            <w:vAlign w:val="center"/>
          </w:tcPr>
          <w:p>
            <w:pPr>
              <w:spacing w:line="0" w:lineRule="atLeast"/>
              <w:jc w:val="center"/>
              <w:rPr>
                <w:rFonts w:ascii="宋体" w:hAnsi="宋体" w:cs="宋体"/>
                <w:color w:val="000000"/>
                <w:kern w:val="0"/>
                <w:sz w:val="22"/>
              </w:rPr>
            </w:pPr>
            <w:r>
              <w:rPr>
                <w:rFonts w:hint="eastAsia" w:ascii="宋体" w:hAnsi="宋体" w:cs="宋体"/>
                <w:color w:val="000000"/>
                <w:kern w:val="0"/>
                <w:sz w:val="22"/>
              </w:rPr>
              <w:t>产出时效</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完成及时性</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项目实际完成时间与计划完成时间的比较，用以反映和考核项目产出时效目标的实现程度。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6</w:t>
            </w:r>
          </w:p>
        </w:tc>
        <w:tc>
          <w:tcPr>
            <w:tcW w:w="874" w:type="dxa"/>
            <w:shd w:val="clear" w:color="000000" w:fill="FFFFFF"/>
          </w:tcPr>
          <w:p>
            <w:pPr>
              <w:spacing w:line="600" w:lineRule="auto"/>
              <w:jc w:val="center"/>
              <w:rPr>
                <w:rFonts w:hint="default" w:ascii="Times New Roman" w:hAnsi="Times New Roman" w:eastAsia="仿宋_GB2312" w:cs="Times New Roman"/>
                <w:kern w:val="2"/>
                <w:sz w:val="30"/>
                <w:szCs w:val="24"/>
                <w:lang w:val="en-US" w:eastAsia="zh-CN" w:bidi="ar-SA"/>
              </w:rPr>
            </w:pPr>
            <w:r>
              <w:rPr>
                <w:rFonts w:hint="eastAsia"/>
                <w:lang w:val="en-US" w:eastAsia="zh-CN"/>
              </w:rPr>
              <w:t>6</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416"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产出成本</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成本节约率</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完成项目计划工作目标的实际节约成本与计划成本的比率，用以反映和考核项目的成本节约程度。</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7</w:t>
            </w:r>
          </w:p>
        </w:tc>
        <w:tc>
          <w:tcPr>
            <w:tcW w:w="874" w:type="dxa"/>
            <w:shd w:val="clear" w:color="auto" w:fill="FFFFFF"/>
          </w:tcPr>
          <w:p>
            <w:pPr>
              <w:spacing w:line="600" w:lineRule="auto"/>
              <w:jc w:val="center"/>
              <w:rPr>
                <w:rFonts w:hint="eastAsia" w:ascii="Times New Roman" w:hAnsi="Times New Roman" w:eastAsia="仿宋_GB2312" w:cs="Times New Roman"/>
                <w:kern w:val="2"/>
                <w:sz w:val="30"/>
                <w:szCs w:val="24"/>
                <w:lang w:val="en-US" w:eastAsia="zh-CN" w:bidi="ar-SA"/>
              </w:rPr>
            </w:pPr>
            <w:r>
              <w:rPr>
                <w:rFonts w:hint="eastAsia"/>
                <w:lang w:val="en-US" w:eastAsia="zh-CN"/>
              </w:rPr>
              <w:t>7</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5" w:hRule="atLeast"/>
          <w:jc w:val="center"/>
        </w:trPr>
        <w:tc>
          <w:tcPr>
            <w:tcW w:w="757"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效益　</w:t>
            </w:r>
          </w:p>
        </w:tc>
        <w:tc>
          <w:tcPr>
            <w:tcW w:w="1478" w:type="dxa"/>
            <w:vMerge w:val="restart"/>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项目效益　</w:t>
            </w: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实施效益</w:t>
            </w:r>
          </w:p>
        </w:tc>
        <w:tc>
          <w:tcPr>
            <w:tcW w:w="388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项目实施所产生的效益。</w:t>
            </w:r>
          </w:p>
        </w:tc>
        <w:tc>
          <w:tcPr>
            <w:tcW w:w="990" w:type="dxa"/>
            <w:tcBorders>
              <w:left w:val="single" w:color="auto" w:sz="4" w:space="0"/>
            </w:tcBorders>
            <w:shd w:val="clear" w:color="auto" w:fill="FFFFFF"/>
          </w:tcPr>
          <w:p>
            <w:pPr>
              <w:spacing w:line="600" w:lineRule="auto"/>
              <w:jc w:val="center"/>
              <w:rPr>
                <w:rFonts w:hint="default" w:eastAsia="仿宋_GB2312"/>
                <w:lang w:val="en-US" w:eastAsia="zh-CN"/>
              </w:rPr>
            </w:pPr>
            <w:r>
              <w:rPr>
                <w:rFonts w:hint="eastAsia"/>
                <w:lang w:val="en-US" w:eastAsia="zh-CN"/>
              </w:rPr>
              <w:t>10</w:t>
            </w:r>
          </w:p>
        </w:tc>
        <w:tc>
          <w:tcPr>
            <w:tcW w:w="874" w:type="dxa"/>
            <w:shd w:val="clear" w:color="auto" w:fill="FFFFFF"/>
          </w:tcPr>
          <w:p>
            <w:pPr>
              <w:spacing w:line="600" w:lineRule="auto"/>
              <w:jc w:val="center"/>
              <w:rPr>
                <w:rFonts w:hint="eastAsia" w:eastAsia="仿宋_GB2312"/>
                <w:lang w:val="en-US" w:eastAsia="zh-CN"/>
              </w:rPr>
            </w:pPr>
            <w:r>
              <w:rPr>
                <w:rFonts w:hint="eastAsia"/>
                <w:lang w:val="en-US" w:eastAsia="zh-CN"/>
              </w:rPr>
              <w:t>10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20" w:hRule="atLeast"/>
          <w:jc w:val="center"/>
        </w:trPr>
        <w:tc>
          <w:tcPr>
            <w:tcW w:w="757"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478" w:type="dxa"/>
            <w:vMerge w:val="continue"/>
            <w:shd w:val="clear" w:color="auto" w:fill="FFFFFF"/>
            <w:vAlign w:val="center"/>
          </w:tcPr>
          <w:p>
            <w:pPr>
              <w:widowControl/>
              <w:spacing w:line="0" w:lineRule="atLeast"/>
              <w:jc w:val="center"/>
              <w:rPr>
                <w:rFonts w:ascii="宋体" w:hAnsi="宋体" w:cs="宋体"/>
                <w:color w:val="000000"/>
                <w:kern w:val="0"/>
                <w:sz w:val="22"/>
              </w:rPr>
            </w:pPr>
          </w:p>
        </w:tc>
        <w:tc>
          <w:tcPr>
            <w:tcW w:w="1875" w:type="dxa"/>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满意度</w:t>
            </w:r>
          </w:p>
        </w:tc>
        <w:tc>
          <w:tcPr>
            <w:tcW w:w="3885" w:type="dxa"/>
            <w:tcBorders>
              <w:right w:val="single" w:color="auto" w:sz="4" w:space="0"/>
            </w:tcBorders>
            <w:shd w:val="clear" w:color="000000" w:fill="FFFFFF"/>
            <w:vAlign w:val="center"/>
          </w:tcPr>
          <w:p>
            <w:pPr>
              <w:widowControl/>
              <w:spacing w:line="0" w:lineRule="atLeast"/>
              <w:jc w:val="center"/>
              <w:rPr>
                <w:rFonts w:ascii="宋体" w:hAnsi="宋体" w:cs="宋体"/>
                <w:color w:val="000000"/>
                <w:kern w:val="0"/>
                <w:sz w:val="22"/>
              </w:rPr>
            </w:pPr>
            <w:r>
              <w:rPr>
                <w:rFonts w:hint="eastAsia" w:ascii="宋体" w:hAnsi="宋体" w:cs="宋体"/>
                <w:color w:val="000000"/>
                <w:kern w:val="0"/>
                <w:sz w:val="22"/>
              </w:rPr>
              <w:t>社会公众或服务对象对项目实施效果的满意程度。</w:t>
            </w:r>
          </w:p>
        </w:tc>
        <w:tc>
          <w:tcPr>
            <w:tcW w:w="990" w:type="dxa"/>
            <w:tcBorders>
              <w:left w:val="single" w:color="auto" w:sz="4" w:space="0"/>
            </w:tcBorders>
            <w:shd w:val="clear" w:color="000000" w:fill="FFFFFF"/>
          </w:tcPr>
          <w:p>
            <w:pPr>
              <w:spacing w:line="600" w:lineRule="auto"/>
              <w:jc w:val="center"/>
              <w:rPr>
                <w:rFonts w:hint="default" w:eastAsia="仿宋_GB2312"/>
                <w:lang w:val="en-US" w:eastAsia="zh-CN"/>
              </w:rPr>
            </w:pPr>
            <w:r>
              <w:rPr>
                <w:rFonts w:hint="eastAsia"/>
                <w:lang w:val="en-US" w:eastAsia="zh-CN"/>
              </w:rPr>
              <w:t>15</w:t>
            </w:r>
          </w:p>
        </w:tc>
        <w:tc>
          <w:tcPr>
            <w:tcW w:w="874" w:type="dxa"/>
            <w:shd w:val="clear" w:color="000000" w:fill="FFFFFF"/>
          </w:tcPr>
          <w:p>
            <w:pPr>
              <w:spacing w:line="600" w:lineRule="auto"/>
              <w:jc w:val="center"/>
              <w:rPr>
                <w:rFonts w:hint="eastAsia" w:eastAsia="仿宋_GB2312"/>
                <w:lang w:val="en-US" w:eastAsia="zh-CN"/>
              </w:rPr>
            </w:pPr>
            <w:r>
              <w:rPr>
                <w:rFonts w:hint="eastAsia"/>
                <w:lang w:val="en-US" w:eastAsia="zh-CN"/>
              </w:rPr>
              <w:t>15</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502" w:hRule="atLeast"/>
          <w:jc w:val="center"/>
        </w:trPr>
        <w:tc>
          <w:tcPr>
            <w:tcW w:w="4110" w:type="dxa"/>
            <w:gridSpan w:val="3"/>
            <w:tcBorders>
              <w:right w:val="single" w:color="auto" w:sz="4" w:space="0"/>
            </w:tcBorders>
            <w:shd w:val="clear" w:color="auto" w:fill="FFFFFF"/>
            <w:vAlign w:val="center"/>
          </w:tcPr>
          <w:p>
            <w:pPr>
              <w:widowControl/>
              <w:spacing w:line="0" w:lineRule="atLeast"/>
              <w:jc w:val="center"/>
              <w:rPr>
                <w:rFonts w:ascii="宋体" w:hAnsi="宋体" w:cs="宋体"/>
                <w:color w:val="000000"/>
                <w:kern w:val="0"/>
                <w:sz w:val="22"/>
              </w:rPr>
            </w:pPr>
            <w:r>
              <w:rPr>
                <w:rFonts w:hint="eastAsia" w:ascii="宋体" w:hAnsi="宋体" w:cs="宋体"/>
                <w:b/>
                <w:bCs/>
                <w:color w:val="000000"/>
                <w:kern w:val="0"/>
                <w:sz w:val="22"/>
              </w:rPr>
              <w:t>总分</w:t>
            </w:r>
          </w:p>
        </w:tc>
        <w:tc>
          <w:tcPr>
            <w:tcW w:w="3885" w:type="dxa"/>
            <w:tcBorders>
              <w:right w:val="single" w:color="auto" w:sz="4" w:space="0"/>
            </w:tcBorders>
            <w:shd w:val="clear" w:color="auto" w:fill="FFFFFF"/>
          </w:tcPr>
          <w:p>
            <w:pPr>
              <w:widowControl/>
              <w:spacing w:line="0" w:lineRule="atLeast"/>
              <w:jc w:val="center"/>
              <w:rPr>
                <w:rFonts w:ascii="宋体" w:hAnsi="宋体" w:cs="宋体"/>
                <w:color w:val="000000"/>
                <w:kern w:val="0"/>
                <w:sz w:val="22"/>
              </w:rPr>
            </w:pPr>
          </w:p>
        </w:tc>
        <w:tc>
          <w:tcPr>
            <w:tcW w:w="990" w:type="dxa"/>
            <w:tcBorders>
              <w:left w:val="single" w:color="auto" w:sz="4" w:space="0"/>
            </w:tcBorders>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c>
          <w:tcPr>
            <w:tcW w:w="874" w:type="dxa"/>
            <w:shd w:val="clear" w:color="auto" w:fill="FFFFFF"/>
            <w:vAlign w:val="center"/>
          </w:tcPr>
          <w:p>
            <w:pPr>
              <w:widowControl/>
              <w:spacing w:line="0" w:lineRule="atLeast"/>
              <w:jc w:val="center"/>
              <w:rPr>
                <w:rFonts w:hint="default" w:ascii="宋体" w:hAnsi="宋体" w:eastAsia="仿宋_GB2312" w:cs="宋体"/>
                <w:color w:val="000000"/>
                <w:kern w:val="0"/>
                <w:sz w:val="22"/>
                <w:lang w:val="en-US" w:eastAsia="zh-CN"/>
              </w:rPr>
            </w:pPr>
            <w:r>
              <w:rPr>
                <w:rFonts w:hint="eastAsia" w:ascii="宋体" w:hAnsi="宋体" w:cs="宋体"/>
                <w:color w:val="000000"/>
                <w:kern w:val="0"/>
                <w:sz w:val="22"/>
                <w:lang w:val="en-US" w:eastAsia="zh-CN"/>
              </w:rPr>
              <w:t>100</w:t>
            </w:r>
          </w:p>
        </w:tc>
      </w:tr>
    </w:tbl>
    <w:p>
      <w:pPr>
        <w:sectPr>
          <w:pgSz w:w="11906" w:h="16838"/>
          <w:pgMar w:top="1928" w:right="1531" w:bottom="1701" w:left="1531" w:header="737" w:footer="851" w:gutter="0"/>
          <w:cols w:space="720" w:num="1"/>
          <w:docGrid w:type="lines" w:linePitch="408" w:charSpace="0"/>
        </w:sectPr>
      </w:pPr>
    </w:p>
    <w:p>
      <w:pPr>
        <w:spacing w:line="360" w:lineRule="auto"/>
        <w:ind w:firstLine="600" w:firstLineChars="200"/>
        <w:jc w:val="left"/>
        <w:rPr>
          <w:rFonts w:hint="eastAsia"/>
        </w:rPr>
      </w:pPr>
      <w:r>
        <w:rPr>
          <w:rFonts w:hint="eastAsia"/>
        </w:rPr>
        <w:t>3</w:t>
      </w:r>
      <w:r>
        <w:rPr>
          <w:rFonts w:hint="eastAsia"/>
          <w:lang w:val="en-US" w:eastAsia="zh-CN"/>
        </w:rPr>
        <w:t>.</w:t>
      </w:r>
      <w:r>
        <w:rPr>
          <w:rFonts w:hint="eastAsia"/>
        </w:rPr>
        <w:t>评价方法</w:t>
      </w:r>
    </w:p>
    <w:p>
      <w:pPr>
        <w:spacing w:line="360" w:lineRule="auto"/>
        <w:ind w:firstLine="640" w:firstLineChars="200"/>
        <w:jc w:val="both"/>
        <w:rPr>
          <w:rFonts w:hint="eastAsia"/>
          <w:bCs/>
          <w:color w:val="auto"/>
          <w:sz w:val="32"/>
          <w:szCs w:val="32"/>
          <w:highlight w:val="none"/>
          <w:lang w:eastAsia="zh-CN"/>
        </w:rPr>
      </w:pPr>
      <w:r>
        <w:rPr>
          <w:rFonts w:hint="default" w:ascii="Times New Roman" w:hAnsi="Times New Roman" w:eastAsia="仿宋_GB2312" w:cs="Times New Roman"/>
          <w:b w:val="0"/>
          <w:bCs w:val="0"/>
          <w:i w:val="0"/>
          <w:iCs w:val="0"/>
          <w:color w:val="000000"/>
          <w:kern w:val="2"/>
          <w:sz w:val="32"/>
          <w:szCs w:val="32"/>
          <w:highlight w:val="none"/>
          <w:vertAlign w:val="baseline"/>
          <w:lang w:val="en-US" w:eastAsia="zh-CN" w:bidi="ar-SA"/>
        </w:rPr>
        <w:t>本次项目支出绩效自评采用</w:t>
      </w:r>
      <w:r>
        <w:rPr>
          <w:rFonts w:hint="eastAsia" w:ascii="Times New Roman" w:hAnsi="Times New Roman" w:eastAsia="仿宋_GB2312" w:cs="Times New Roman"/>
          <w:b w:val="0"/>
          <w:bCs w:val="0"/>
          <w:i w:val="0"/>
          <w:iCs w:val="0"/>
          <w:color w:val="000000"/>
          <w:kern w:val="2"/>
          <w:sz w:val="32"/>
          <w:szCs w:val="32"/>
          <w:highlight w:val="none"/>
          <w:vertAlign w:val="baseline"/>
          <w:lang w:val="en-US" w:eastAsia="zh-CN" w:bidi="ar-SA"/>
        </w:rPr>
        <w:t>比较法，</w:t>
      </w:r>
      <w:r>
        <w:rPr>
          <w:rFonts w:hint="eastAsia"/>
          <w:bCs/>
          <w:color w:val="auto"/>
          <w:sz w:val="32"/>
          <w:szCs w:val="32"/>
          <w:highlight w:val="none"/>
        </w:rPr>
        <w:t>采取定性与定量评价相结合的方式，对</w:t>
      </w:r>
      <w:r>
        <w:rPr>
          <w:rFonts w:hint="eastAsia"/>
          <w:bCs/>
          <w:color w:val="auto"/>
          <w:sz w:val="32"/>
          <w:szCs w:val="32"/>
          <w:highlight w:val="none"/>
          <w:lang w:eastAsia="zh-CN"/>
        </w:rPr>
        <w:t>项目支出绩效自评价表格中的总体目标和各项绩效指标逐项进行评价分析。</w:t>
      </w:r>
      <w:r>
        <w:rPr>
          <w:rFonts w:hint="default" w:ascii="Times New Roman" w:hAnsi="Times New Roman" w:eastAsia="仿宋_GB2312" w:cs="Times New Roman"/>
          <w:b w:val="0"/>
          <w:bCs w:val="0"/>
          <w:i w:val="0"/>
          <w:iCs w:val="0"/>
          <w:color w:val="auto"/>
          <w:kern w:val="2"/>
          <w:sz w:val="32"/>
          <w:szCs w:val="32"/>
          <w:highlight w:val="none"/>
          <w:vertAlign w:val="baseline"/>
          <w:lang w:val="en-US" w:eastAsia="zh-CN" w:bidi="ar-SA"/>
        </w:rPr>
        <w:t>主要是通过各项指标实际完成值与年初指标值相比，如果是完成指标值的，就按该指标所赋的全部权重计算分值，同时对其完成值高</w:t>
      </w:r>
      <w:r>
        <w:rPr>
          <w:rFonts w:hint="eastAsia" w:ascii="Times New Roman" w:hAnsi="Times New Roman" w:eastAsia="仿宋_GB2312" w:cs="Times New Roman"/>
          <w:b w:val="0"/>
          <w:bCs w:val="0"/>
          <w:i w:val="0"/>
          <w:iCs w:val="0"/>
          <w:color w:val="auto"/>
          <w:kern w:val="2"/>
          <w:sz w:val="32"/>
          <w:szCs w:val="32"/>
          <w:highlight w:val="none"/>
          <w:vertAlign w:val="baseline"/>
          <w:lang w:val="en-US" w:eastAsia="zh-CN" w:bidi="ar-SA"/>
        </w:rPr>
        <w:t>于</w:t>
      </w:r>
      <w:r>
        <w:rPr>
          <w:rFonts w:hint="default" w:ascii="Times New Roman" w:hAnsi="Times New Roman" w:eastAsia="仿宋_GB2312" w:cs="Times New Roman"/>
          <w:b w:val="0"/>
          <w:bCs w:val="0"/>
          <w:i w:val="0"/>
          <w:iCs w:val="0"/>
          <w:color w:val="auto"/>
          <w:kern w:val="2"/>
          <w:sz w:val="32"/>
          <w:szCs w:val="32"/>
          <w:highlight w:val="none"/>
          <w:vertAlign w:val="baseline"/>
          <w:lang w:val="en-US" w:eastAsia="zh-CN" w:bidi="ar-SA"/>
        </w:rPr>
        <w:t>指标值较多的，认真分析其原因，分析结果如发现是由于年初指标值设定明显偏低造成的，那么就按照偏离程度进行适当调减分值</w:t>
      </w:r>
      <w:r>
        <w:rPr>
          <w:rFonts w:hint="eastAsia" w:ascii="Times New Roman" w:hAnsi="Times New Roman" w:eastAsia="仿宋_GB2312" w:cs="Times New Roman"/>
          <w:b w:val="0"/>
          <w:bCs w:val="0"/>
          <w:i w:val="0"/>
          <w:iCs w:val="0"/>
          <w:color w:val="auto"/>
          <w:kern w:val="2"/>
          <w:sz w:val="32"/>
          <w:szCs w:val="32"/>
          <w:highlight w:val="none"/>
          <w:vertAlign w:val="baseline"/>
          <w:lang w:val="en-US" w:eastAsia="zh-CN" w:bidi="ar-SA"/>
        </w:rPr>
        <w:t>；</w:t>
      </w:r>
      <w:r>
        <w:rPr>
          <w:rFonts w:hint="default" w:ascii="Times New Roman" w:hAnsi="Times New Roman" w:eastAsia="仿宋_GB2312" w:cs="Times New Roman"/>
          <w:b w:val="0"/>
          <w:bCs w:val="0"/>
          <w:i w:val="0"/>
          <w:iCs w:val="0"/>
          <w:color w:val="auto"/>
          <w:kern w:val="2"/>
          <w:sz w:val="32"/>
          <w:szCs w:val="32"/>
          <w:highlight w:val="none"/>
          <w:vertAlign w:val="baseline"/>
          <w:lang w:val="en-US" w:eastAsia="zh-CN" w:bidi="ar-SA"/>
        </w:rPr>
        <w:t>对于</w:t>
      </w:r>
      <w:r>
        <w:rPr>
          <w:rFonts w:hint="eastAsia" w:ascii="Times New Roman" w:hAnsi="Times New Roman" w:eastAsia="仿宋_GB2312" w:cs="Times New Roman"/>
          <w:b w:val="0"/>
          <w:bCs w:val="0"/>
          <w:i w:val="0"/>
          <w:iCs w:val="0"/>
          <w:color w:val="auto"/>
          <w:kern w:val="2"/>
          <w:sz w:val="32"/>
          <w:szCs w:val="32"/>
          <w:highlight w:val="none"/>
          <w:vertAlign w:val="baseline"/>
          <w:lang w:val="en-US" w:eastAsia="zh-CN" w:bidi="ar-SA"/>
        </w:rPr>
        <w:t>未</w:t>
      </w:r>
      <w:r>
        <w:rPr>
          <w:rFonts w:hint="default" w:ascii="Times New Roman" w:hAnsi="Times New Roman" w:eastAsia="仿宋_GB2312" w:cs="Times New Roman"/>
          <w:b w:val="0"/>
          <w:bCs w:val="0"/>
          <w:i w:val="0"/>
          <w:iCs w:val="0"/>
          <w:color w:val="auto"/>
          <w:kern w:val="2"/>
          <w:sz w:val="32"/>
          <w:szCs w:val="32"/>
          <w:highlight w:val="none"/>
          <w:vertAlign w:val="baseline"/>
          <w:lang w:val="en-US" w:eastAsia="zh-CN" w:bidi="ar-SA"/>
        </w:rPr>
        <w:t>完成指标值的，按照完成值与指标值的完成比例相应计算记分。</w:t>
      </w:r>
    </w:p>
    <w:p>
      <w:pPr>
        <w:spacing w:line="360" w:lineRule="auto"/>
        <w:ind w:firstLine="640" w:firstLineChars="200"/>
        <w:rPr>
          <w:rFonts w:hint="eastAsia"/>
          <w:bCs/>
          <w:color w:val="auto"/>
          <w:sz w:val="32"/>
          <w:szCs w:val="32"/>
          <w:lang w:eastAsia="zh-CN"/>
        </w:rPr>
      </w:pPr>
    </w:p>
    <w:p>
      <w:pPr>
        <w:spacing w:line="360" w:lineRule="auto"/>
        <w:ind w:firstLine="600" w:firstLineChars="200"/>
        <w:jc w:val="left"/>
        <w:rPr>
          <w:rFonts w:hint="eastAsia"/>
        </w:rPr>
      </w:pPr>
      <w:r>
        <w:rPr>
          <w:rFonts w:hint="eastAsia"/>
        </w:rPr>
        <w:t>4</w:t>
      </w:r>
      <w:r>
        <w:rPr>
          <w:rFonts w:hint="eastAsia"/>
          <w:lang w:val="en-US" w:eastAsia="zh-CN"/>
        </w:rPr>
        <w:t>.</w:t>
      </w:r>
      <w:r>
        <w:rPr>
          <w:rFonts w:hint="eastAsia"/>
        </w:rPr>
        <w:t>评价标准</w:t>
      </w:r>
    </w:p>
    <w:p>
      <w:pPr>
        <w:spacing w:line="360" w:lineRule="auto"/>
        <w:ind w:firstLine="640" w:firstLineChars="200"/>
        <w:jc w:val="both"/>
        <w:rPr>
          <w:rFonts w:hint="eastAsia" w:eastAsia="仿宋_GB2312"/>
          <w:bCs/>
          <w:color w:val="000000"/>
          <w:sz w:val="32"/>
          <w:szCs w:val="32"/>
          <w:highlight w:val="yellow"/>
          <w:lang w:eastAsia="zh-CN"/>
        </w:rPr>
      </w:pPr>
      <w:r>
        <w:rPr>
          <w:rFonts w:hint="default" w:ascii="Times New Roman" w:hAnsi="Times New Roman" w:eastAsia="仿宋_GB2312" w:cs="Times New Roman"/>
          <w:b w:val="0"/>
          <w:bCs w:val="0"/>
          <w:i w:val="0"/>
          <w:iCs w:val="0"/>
          <w:color w:val="000000"/>
          <w:kern w:val="2"/>
          <w:sz w:val="32"/>
          <w:szCs w:val="32"/>
          <w:highlight w:val="none"/>
          <w:vertAlign w:val="baseline"/>
          <w:lang w:val="en-US" w:eastAsia="zh-CN" w:bidi="ar-SA"/>
        </w:rPr>
        <w:t>本次项目支出绩效自评采用</w:t>
      </w:r>
      <w:r>
        <w:rPr>
          <w:rFonts w:hint="eastAsia" w:ascii="Times New Roman" w:hAnsi="Times New Roman" w:eastAsia="仿宋_GB2312" w:cs="Times New Roman"/>
          <w:b w:val="0"/>
          <w:bCs w:val="0"/>
          <w:i w:val="0"/>
          <w:iCs w:val="0"/>
          <w:color w:val="000000"/>
          <w:kern w:val="2"/>
          <w:sz w:val="32"/>
          <w:szCs w:val="32"/>
          <w:highlight w:val="none"/>
          <w:vertAlign w:val="baseline"/>
          <w:lang w:val="en-US" w:eastAsia="zh-CN" w:bidi="ar-SA"/>
        </w:rPr>
        <w:t>计划</w:t>
      </w:r>
      <w:r>
        <w:rPr>
          <w:rFonts w:hint="default" w:ascii="Times New Roman" w:hAnsi="Times New Roman" w:eastAsia="仿宋_GB2312" w:cs="Times New Roman"/>
          <w:b w:val="0"/>
          <w:bCs w:val="0"/>
          <w:i w:val="0"/>
          <w:iCs w:val="0"/>
          <w:color w:val="000000"/>
          <w:kern w:val="2"/>
          <w:sz w:val="32"/>
          <w:szCs w:val="32"/>
          <w:highlight w:val="none"/>
          <w:vertAlign w:val="baseline"/>
          <w:lang w:val="en-US" w:eastAsia="zh-CN" w:bidi="ar-SA"/>
        </w:rPr>
        <w:t>标准</w:t>
      </w:r>
      <w:r>
        <w:rPr>
          <w:rFonts w:hint="eastAsia" w:ascii="Times New Roman" w:hAnsi="Times New Roman" w:eastAsia="仿宋_GB2312" w:cs="Times New Roman"/>
          <w:b w:val="0"/>
          <w:bCs w:val="0"/>
          <w:i w:val="0"/>
          <w:iCs w:val="0"/>
          <w:color w:val="000000"/>
          <w:kern w:val="2"/>
          <w:sz w:val="32"/>
          <w:szCs w:val="32"/>
          <w:highlight w:val="none"/>
          <w:vertAlign w:val="baseline"/>
          <w:lang w:val="en-US" w:eastAsia="zh-CN" w:bidi="ar-SA"/>
        </w:rPr>
        <w:t>、行业标准，原因是目标明确、效率更高，能够使项目严谨细致、稳步前进。计划本身又是对工作进度和质量的考核标准,有较强的约束和督促作用。</w:t>
      </w:r>
    </w:p>
    <w:p>
      <w:pPr>
        <w:spacing w:line="360" w:lineRule="auto"/>
        <w:ind w:firstLine="640" w:firstLineChars="200"/>
        <w:rPr>
          <w:rFonts w:hint="eastAsia" w:eastAsia="仿宋_GB2312"/>
          <w:bCs/>
          <w:color w:val="auto"/>
          <w:sz w:val="32"/>
          <w:szCs w:val="32"/>
          <w:highlight w:val="yellow"/>
          <w:lang w:eastAsia="zh-CN"/>
        </w:rPr>
      </w:pPr>
    </w:p>
    <w:p>
      <w:pPr>
        <w:pStyle w:val="3"/>
        <w:spacing w:line="360" w:lineRule="auto"/>
        <w:rPr>
          <w:rFonts w:hint="eastAsia" w:ascii="仿宋_GB2312" w:eastAsia="仿宋_GB2312"/>
          <w:b w:val="0"/>
          <w:bCs w:val="0"/>
        </w:rPr>
      </w:pPr>
      <w:bookmarkStart w:id="6" w:name="_Toc68703833"/>
      <w:r>
        <w:rPr>
          <w:rFonts w:hint="eastAsia" w:ascii="仿宋_GB2312" w:eastAsia="仿宋_GB2312"/>
          <w:b w:val="0"/>
          <w:bCs w:val="0"/>
        </w:rPr>
        <w:t>（三）绩效评价工作过程。</w:t>
      </w:r>
      <w:bookmarkEnd w:id="6"/>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前期准备：</w:t>
      </w:r>
    </w:p>
    <w:p>
      <w:pPr>
        <w:spacing w:line="360" w:lineRule="auto"/>
        <w:ind w:firstLine="600" w:firstLineChars="200"/>
        <w:rPr>
          <w:rFonts w:hint="eastAsia" w:eastAsia="仿宋_GB2312"/>
          <w:color w:val="auto"/>
          <w:lang w:eastAsia="zh-CN"/>
        </w:rPr>
      </w:pPr>
      <w:r>
        <w:rPr>
          <w:rFonts w:hint="eastAsia"/>
          <w:color w:val="auto"/>
        </w:rPr>
        <w:t>2</w:t>
      </w:r>
      <w:r>
        <w:rPr>
          <w:color w:val="auto"/>
        </w:rPr>
        <w:t>02</w:t>
      </w:r>
      <w:r>
        <w:rPr>
          <w:rFonts w:hint="eastAsia"/>
          <w:color w:val="auto"/>
          <w:lang w:val="en-US" w:eastAsia="zh-CN"/>
        </w:rPr>
        <w:t>3</w:t>
      </w:r>
      <w:r>
        <w:rPr>
          <w:rFonts w:hint="eastAsia"/>
          <w:color w:val="auto"/>
        </w:rPr>
        <w:t>年</w:t>
      </w:r>
      <w:r>
        <w:rPr>
          <w:rFonts w:hint="eastAsia"/>
          <w:color w:val="auto"/>
          <w:lang w:val="en-US" w:eastAsia="zh-CN"/>
        </w:rPr>
        <w:t>3</w:t>
      </w:r>
      <w:r>
        <w:rPr>
          <w:rFonts w:hint="eastAsia"/>
          <w:color w:val="auto"/>
        </w:rPr>
        <w:t>月</w:t>
      </w:r>
      <w:r>
        <w:rPr>
          <w:rFonts w:hint="eastAsia"/>
          <w:color w:val="auto"/>
          <w:lang w:val="en-US" w:eastAsia="zh-CN"/>
        </w:rPr>
        <w:t>16</w:t>
      </w:r>
      <w:r>
        <w:rPr>
          <w:rFonts w:hint="eastAsia"/>
          <w:color w:val="auto"/>
        </w:rPr>
        <w:t>日，</w:t>
      </w:r>
      <w:r>
        <w:rPr>
          <w:rFonts w:hint="eastAsia" w:ascii="仿宋_GB2312"/>
          <w:color w:val="auto"/>
          <w:lang w:val="zh-CN"/>
        </w:rPr>
        <w:t>开始前期准备工作，评价组通过前期调研</w:t>
      </w:r>
      <w:r>
        <w:rPr>
          <w:rFonts w:hint="eastAsia"/>
          <w:color w:val="auto"/>
        </w:rPr>
        <w:t>确定绩效评价对象和范围，</w:t>
      </w:r>
      <w:r>
        <w:rPr>
          <w:rFonts w:hint="eastAsia" w:ascii="仿宋_GB2312"/>
          <w:color w:val="auto"/>
          <w:lang w:val="zh-CN"/>
        </w:rPr>
        <w:t>确定了评价的目的、方法以及评价的原则，根据项目的内容和特征制定了评价指标体系及评价标准以及评价实施方案，修正并确定所需资料清单，最终确定</w:t>
      </w:r>
      <w:r>
        <w:rPr>
          <w:rFonts w:hint="eastAsia"/>
          <w:color w:val="auto"/>
        </w:rPr>
        <w:t>绩效评价工作方案</w:t>
      </w:r>
      <w:r>
        <w:rPr>
          <w:rFonts w:hint="eastAsia"/>
          <w:color w:val="auto"/>
          <w:lang w:eastAsia="zh-CN"/>
        </w:rPr>
        <w:t>。</w:t>
      </w:r>
    </w:p>
    <w:p>
      <w:pPr>
        <w:spacing w:line="360" w:lineRule="auto"/>
        <w:ind w:firstLine="600" w:firstLineChars="200"/>
        <w:jc w:val="left"/>
        <w:rPr>
          <w:rFonts w:hint="eastAsia"/>
        </w:rPr>
      </w:pPr>
      <w:r>
        <w:rPr>
          <w:rFonts w:hint="eastAsia"/>
        </w:rPr>
        <w:t>2</w:t>
      </w:r>
      <w:r>
        <w:rPr>
          <w:rFonts w:hint="eastAsia"/>
          <w:lang w:val="en-US" w:eastAsia="zh-CN"/>
        </w:rPr>
        <w:t>.</w:t>
      </w:r>
      <w:r>
        <w:rPr>
          <w:rFonts w:hint="eastAsia"/>
        </w:rPr>
        <w:t>组织实施：</w:t>
      </w:r>
    </w:p>
    <w:p>
      <w:pPr>
        <w:spacing w:line="360" w:lineRule="auto"/>
        <w:ind w:firstLine="600" w:firstLineChars="200"/>
        <w:rPr>
          <w:rFonts w:hint="eastAsia" w:ascii="仿宋_GB2312"/>
          <w:color w:val="auto"/>
          <w:lang w:val="zh-CN"/>
        </w:rPr>
      </w:pPr>
      <w:r>
        <w:rPr>
          <w:rFonts w:hint="eastAsia"/>
          <w:color w:val="auto"/>
          <w:lang w:val="zh-CN"/>
        </w:rPr>
        <w:t>202</w:t>
      </w:r>
      <w:r>
        <w:rPr>
          <w:rFonts w:hint="eastAsia"/>
          <w:color w:val="auto"/>
          <w:lang w:val="en-US" w:eastAsia="zh-CN"/>
        </w:rPr>
        <w:t>3</w:t>
      </w:r>
      <w:r>
        <w:rPr>
          <w:rFonts w:hint="eastAsia"/>
          <w:color w:val="auto"/>
          <w:lang w:val="zh-CN"/>
        </w:rPr>
        <w:t>年</w:t>
      </w:r>
      <w:r>
        <w:rPr>
          <w:rFonts w:hint="eastAsia"/>
          <w:color w:val="auto"/>
          <w:lang w:val="en-US" w:eastAsia="zh-CN"/>
        </w:rPr>
        <w:t>3</w:t>
      </w:r>
      <w:r>
        <w:rPr>
          <w:rFonts w:hint="eastAsia"/>
          <w:color w:val="auto"/>
          <w:lang w:val="zh-CN"/>
        </w:rPr>
        <w:t>月</w:t>
      </w:r>
      <w:r>
        <w:rPr>
          <w:rFonts w:hint="eastAsia"/>
          <w:color w:val="auto"/>
          <w:lang w:val="en-US" w:eastAsia="zh-CN"/>
        </w:rPr>
        <w:t>17</w:t>
      </w:r>
      <w:r>
        <w:rPr>
          <w:rFonts w:hint="eastAsia"/>
          <w:color w:val="auto"/>
          <w:lang w:val="zh-CN"/>
        </w:rPr>
        <w:t>日，</w:t>
      </w:r>
      <w:r>
        <w:rPr>
          <w:rFonts w:hint="eastAsia" w:ascii="仿宋_GB2312"/>
          <w:color w:val="auto"/>
          <w:lang w:val="zh-CN"/>
        </w:rPr>
        <w:t>评价工作进入实施阶段，评价组收集绩效评价相关数据资料，进行现场调研、座谈；并与项目实施负责人沟通，了解资金的内容、操作流程、管理机制、资金使用方向等情况，分析形成初步结论。</w:t>
      </w:r>
    </w:p>
    <w:p>
      <w:pPr>
        <w:spacing w:line="360" w:lineRule="auto"/>
        <w:ind w:firstLine="600" w:firstLineChars="200"/>
        <w:jc w:val="left"/>
        <w:rPr>
          <w:rFonts w:hint="eastAsia"/>
        </w:rPr>
      </w:pPr>
      <w:r>
        <w:rPr>
          <w:rFonts w:hint="eastAsia"/>
        </w:rPr>
        <w:t>3</w:t>
      </w:r>
      <w:r>
        <w:rPr>
          <w:rFonts w:hint="eastAsia"/>
          <w:lang w:val="en-US" w:eastAsia="zh-CN"/>
        </w:rPr>
        <w:t>.</w:t>
      </w:r>
      <w:r>
        <w:rPr>
          <w:rFonts w:hint="eastAsia"/>
        </w:rPr>
        <w:t>分析评价：</w:t>
      </w:r>
    </w:p>
    <w:p>
      <w:pPr>
        <w:spacing w:line="360" w:lineRule="auto"/>
        <w:ind w:firstLine="600" w:firstLineChars="200"/>
        <w:rPr>
          <w:rFonts w:hint="eastAsia" w:ascii="仿宋_GB2312"/>
          <w:color w:val="auto"/>
          <w:lang w:val="zh-CN"/>
        </w:rPr>
      </w:pPr>
      <w:r>
        <w:rPr>
          <w:rFonts w:hint="eastAsia"/>
          <w:color w:val="auto"/>
          <w:lang w:val="zh-CN"/>
        </w:rPr>
        <w:t>202</w:t>
      </w:r>
      <w:r>
        <w:rPr>
          <w:rFonts w:hint="eastAsia"/>
          <w:color w:val="auto"/>
          <w:lang w:val="en-US" w:eastAsia="zh-CN"/>
        </w:rPr>
        <w:t>3</w:t>
      </w:r>
      <w:r>
        <w:rPr>
          <w:rFonts w:hint="eastAsia"/>
          <w:color w:val="auto"/>
          <w:lang w:val="zh-CN"/>
        </w:rPr>
        <w:t>年</w:t>
      </w:r>
      <w:r>
        <w:rPr>
          <w:rFonts w:hint="eastAsia"/>
          <w:color w:val="auto"/>
          <w:lang w:val="en-US" w:eastAsia="zh-CN"/>
        </w:rPr>
        <w:t>3</w:t>
      </w:r>
      <w:r>
        <w:rPr>
          <w:rFonts w:hint="eastAsia"/>
          <w:color w:val="auto"/>
          <w:lang w:val="zh-CN"/>
        </w:rPr>
        <w:t>月</w:t>
      </w:r>
      <w:r>
        <w:rPr>
          <w:rFonts w:hint="eastAsia"/>
          <w:color w:val="auto"/>
          <w:lang w:val="en-US" w:eastAsia="zh-CN"/>
        </w:rPr>
        <w:t>20</w:t>
      </w:r>
      <w:r>
        <w:rPr>
          <w:rFonts w:hint="eastAsia"/>
          <w:color w:val="auto"/>
          <w:lang w:val="zh-CN"/>
        </w:rPr>
        <w:t>日-</w:t>
      </w:r>
      <w:r>
        <w:rPr>
          <w:rFonts w:hint="eastAsia"/>
          <w:color w:val="auto"/>
          <w:lang w:val="en-US" w:eastAsia="zh-CN"/>
        </w:rPr>
        <w:t>3</w:t>
      </w:r>
      <w:r>
        <w:rPr>
          <w:rFonts w:hint="eastAsia"/>
          <w:color w:val="auto"/>
          <w:lang w:val="zh-CN"/>
        </w:rPr>
        <w:t>月</w:t>
      </w:r>
      <w:r>
        <w:rPr>
          <w:rFonts w:hint="eastAsia"/>
          <w:color w:val="auto"/>
          <w:lang w:val="en-US" w:eastAsia="zh-CN"/>
        </w:rPr>
        <w:t>22</w:t>
      </w:r>
      <w:r>
        <w:rPr>
          <w:rFonts w:hint="eastAsia"/>
          <w:color w:val="auto"/>
          <w:lang w:val="zh-CN"/>
        </w:rPr>
        <w:t>日，</w:t>
      </w:r>
      <w:r>
        <w:rPr>
          <w:rFonts w:hint="eastAsia" w:ascii="仿宋_GB2312"/>
          <w:color w:val="auto"/>
          <w:lang w:val="zh-CN"/>
        </w:rPr>
        <w:t>评价组按照绩效评价的原则和规范，对取得的资料进行审查核实，对采集的数据进行分析，按照绩效评价指标评分表逐项进行打分、分析，汇总各方评价结果，综合分析并形成评价结论。</w:t>
      </w:r>
    </w:p>
    <w:p>
      <w:pPr>
        <w:pStyle w:val="2"/>
        <w:spacing w:line="360" w:lineRule="auto"/>
        <w:rPr>
          <w:rFonts w:ascii="宋体" w:hAnsi="宋体" w:eastAsia="宋体"/>
          <w:sz w:val="32"/>
          <w:szCs w:val="32"/>
        </w:rPr>
      </w:pPr>
      <w:bookmarkStart w:id="7" w:name="_Toc68703834"/>
      <w:r>
        <w:rPr>
          <w:rFonts w:hint="eastAsia" w:ascii="宋体" w:hAnsi="宋体" w:eastAsia="宋体"/>
          <w:sz w:val="32"/>
          <w:szCs w:val="32"/>
        </w:rPr>
        <w:t>三、综合评价情况及评价结论</w:t>
      </w:r>
      <w:bookmarkEnd w:id="7"/>
    </w:p>
    <w:p>
      <w:pPr>
        <w:pStyle w:val="3"/>
        <w:spacing w:line="360" w:lineRule="auto"/>
        <w:rPr>
          <w:rFonts w:hint="eastAsia" w:ascii="仿宋_GB2312" w:eastAsia="仿宋_GB2312"/>
          <w:b w:val="0"/>
          <w:bCs w:val="0"/>
        </w:rPr>
      </w:pPr>
      <w:bookmarkStart w:id="8" w:name="_Toc68703835"/>
      <w:r>
        <w:rPr>
          <w:rFonts w:hint="eastAsia" w:ascii="仿宋_GB2312" w:eastAsia="仿宋_GB2312"/>
          <w:b w:val="0"/>
          <w:bCs w:val="0"/>
        </w:rPr>
        <w:t>（一）综合评价情况</w:t>
      </w:r>
      <w:bookmarkEnd w:id="8"/>
    </w:p>
    <w:p>
      <w:pPr>
        <w:spacing w:line="360" w:lineRule="auto"/>
        <w:ind w:firstLine="640" w:firstLineChars="200"/>
        <w:rPr>
          <w:rFonts w:hint="eastAsia"/>
          <w:bCs/>
          <w:color w:val="auto"/>
          <w:sz w:val="32"/>
          <w:szCs w:val="32"/>
        </w:rPr>
      </w:pPr>
      <w:r>
        <w:rPr>
          <w:rFonts w:hint="eastAsia"/>
          <w:bCs/>
          <w:color w:val="auto"/>
          <w:sz w:val="32"/>
          <w:szCs w:val="32"/>
        </w:rPr>
        <w:t>本项目严格按照科学公正、统筹兼顾、激励约束、公开透明的绩效评价原则，</w:t>
      </w:r>
      <w:r>
        <w:rPr>
          <w:rFonts w:hint="eastAsia"/>
          <w:bCs/>
          <w:color w:val="auto"/>
          <w:sz w:val="32"/>
          <w:szCs w:val="32"/>
          <w:highlight w:val="none"/>
        </w:rPr>
        <w:t>采用</w:t>
      </w:r>
      <w:r>
        <w:rPr>
          <w:rFonts w:hint="eastAsia"/>
          <w:bCs/>
          <w:color w:val="auto"/>
          <w:sz w:val="32"/>
          <w:szCs w:val="32"/>
          <w:highlight w:val="none"/>
          <w:lang w:eastAsia="zh-CN"/>
        </w:rPr>
        <w:t>比较法，坚持计划标准、行业标准</w:t>
      </w:r>
      <w:r>
        <w:rPr>
          <w:rFonts w:hint="eastAsia"/>
          <w:bCs/>
          <w:color w:val="auto"/>
          <w:sz w:val="32"/>
          <w:szCs w:val="32"/>
        </w:rPr>
        <w:t>对本项目的立项、绩效目标、资金投入、资金管理、组织实施、产出数量、产出质量、产出时效、产出成本、项目效益进行了综合评价。</w:t>
      </w:r>
    </w:p>
    <w:p>
      <w:pPr>
        <w:spacing w:line="360" w:lineRule="auto"/>
        <w:ind w:firstLine="600" w:firstLineChars="200"/>
        <w:jc w:val="center"/>
        <w:rPr>
          <w:color w:val="FF0000"/>
        </w:rPr>
      </w:pPr>
      <w:r>
        <w:rPr>
          <w:rFonts w:hint="eastAsia" w:ascii="Times New Roman" w:hAnsi="Times New Roman" w:eastAsia="仿宋_GB2312" w:cs="Times New Roman"/>
          <w:b w:val="0"/>
          <w:bCs w:val="0"/>
          <w:sz w:val="30"/>
          <w:szCs w:val="24"/>
        </w:rPr>
        <w:t>2022年招商引资项目评价得分情况</w:t>
      </w:r>
    </w:p>
    <w:tbl>
      <w:tblPr>
        <w:tblStyle w:val="8"/>
        <w:tblW w:w="7583" w:type="dxa"/>
        <w:jc w:val="center"/>
        <w:tblLayout w:type="fixed"/>
        <w:tblCellMar>
          <w:top w:w="0" w:type="dxa"/>
          <w:left w:w="108" w:type="dxa"/>
          <w:bottom w:w="0" w:type="dxa"/>
          <w:right w:w="108" w:type="dxa"/>
        </w:tblCellMar>
      </w:tblPr>
      <w:tblGrid>
        <w:gridCol w:w="3137"/>
        <w:gridCol w:w="2168"/>
        <w:gridCol w:w="2278"/>
      </w:tblGrid>
      <w:tr>
        <w:tblPrEx>
          <w:tblCellMar>
            <w:top w:w="0" w:type="dxa"/>
            <w:left w:w="108" w:type="dxa"/>
            <w:bottom w:w="0" w:type="dxa"/>
            <w:right w:w="108" w:type="dxa"/>
          </w:tblCellMar>
        </w:tblPrEx>
        <w:trPr>
          <w:trHeight w:val="90" w:hRule="atLeast"/>
          <w:tblHeader/>
          <w:jc w:val="center"/>
        </w:trPr>
        <w:tc>
          <w:tcPr>
            <w:tcW w:w="3137" w:type="dxa"/>
            <w:tcBorders>
              <w:top w:val="single" w:color="auto" w:sz="4" w:space="0"/>
              <w:left w:val="single" w:color="auto" w:sz="4" w:space="0"/>
              <w:bottom w:val="single" w:color="auto" w:sz="4" w:space="0"/>
              <w:right w:val="single" w:color="auto" w:sz="4" w:space="0"/>
            </w:tcBorders>
            <w:shd w:val="clear" w:color="000000" w:fill="BEBEBE"/>
            <w:vAlign w:val="center"/>
          </w:tcPr>
          <w:p>
            <w:pPr>
              <w:jc w:val="center"/>
              <w:rPr>
                <w:b/>
                <w:bCs/>
                <w:color w:val="000000"/>
                <w:sz w:val="22"/>
              </w:rPr>
            </w:pPr>
            <w:r>
              <w:rPr>
                <w:rFonts w:hint="eastAsia"/>
                <w:b/>
                <w:bCs/>
                <w:color w:val="000000"/>
                <w:sz w:val="22"/>
              </w:rPr>
              <w:t>一级指标</w:t>
            </w:r>
          </w:p>
        </w:tc>
        <w:tc>
          <w:tcPr>
            <w:tcW w:w="2168" w:type="dxa"/>
            <w:tcBorders>
              <w:top w:val="single" w:color="auto" w:sz="4" w:space="0"/>
              <w:left w:val="nil"/>
              <w:bottom w:val="single" w:color="auto" w:sz="4" w:space="0"/>
              <w:right w:val="single" w:color="auto" w:sz="4" w:space="0"/>
            </w:tcBorders>
            <w:shd w:val="clear" w:color="000000" w:fill="BEBEBE"/>
            <w:vAlign w:val="center"/>
          </w:tcPr>
          <w:p>
            <w:pPr>
              <w:jc w:val="center"/>
              <w:rPr>
                <w:b/>
                <w:bCs/>
                <w:color w:val="000000"/>
                <w:sz w:val="22"/>
              </w:rPr>
            </w:pPr>
            <w:r>
              <w:rPr>
                <w:rFonts w:hint="eastAsia"/>
                <w:b/>
                <w:bCs/>
                <w:color w:val="000000"/>
                <w:sz w:val="22"/>
              </w:rPr>
              <w:t>权重分</w:t>
            </w:r>
          </w:p>
        </w:tc>
        <w:tc>
          <w:tcPr>
            <w:tcW w:w="2278" w:type="dxa"/>
            <w:tcBorders>
              <w:top w:val="single" w:color="auto" w:sz="4" w:space="0"/>
              <w:left w:val="nil"/>
              <w:bottom w:val="single" w:color="auto" w:sz="4" w:space="0"/>
              <w:right w:val="single" w:color="auto" w:sz="4" w:space="0"/>
            </w:tcBorders>
            <w:shd w:val="clear" w:color="000000" w:fill="BEBEBE"/>
            <w:vAlign w:val="center"/>
          </w:tcPr>
          <w:p>
            <w:pPr>
              <w:jc w:val="center"/>
              <w:rPr>
                <w:b/>
                <w:bCs/>
                <w:color w:val="000000"/>
                <w:sz w:val="22"/>
              </w:rPr>
            </w:pPr>
            <w:r>
              <w:rPr>
                <w:rFonts w:hint="eastAsia"/>
                <w:b/>
                <w:bCs/>
                <w:color w:val="000000"/>
                <w:sz w:val="22"/>
              </w:rPr>
              <w:t>得分</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项目决策</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项目过程</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项目产出</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color w:val="000000"/>
                <w:sz w:val="22"/>
              </w:rPr>
            </w:pPr>
            <w:r>
              <w:rPr>
                <w:rFonts w:hint="eastAsia"/>
                <w:color w:val="000000"/>
                <w:sz w:val="22"/>
              </w:rPr>
              <w:t>项目效益</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color w:val="000000"/>
                <w:sz w:val="22"/>
                <w:lang w:val="en-US" w:eastAsia="zh-CN"/>
              </w:rPr>
            </w:pPr>
            <w:r>
              <w:rPr>
                <w:rFonts w:hint="eastAsia"/>
                <w:color w:val="000000"/>
                <w:sz w:val="22"/>
                <w:lang w:val="en-US" w:eastAsia="zh-CN"/>
              </w:rPr>
              <w:t>25</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ascii="Times New Roman" w:hAnsi="Times New Roman" w:eastAsia="仿宋_GB2312" w:cs="Times New Roman"/>
                <w:color w:val="000000"/>
                <w:kern w:val="2"/>
                <w:sz w:val="22"/>
                <w:szCs w:val="24"/>
                <w:lang w:val="en-US" w:eastAsia="zh-CN" w:bidi="ar-SA"/>
              </w:rPr>
            </w:pPr>
            <w:r>
              <w:rPr>
                <w:rFonts w:hint="eastAsia"/>
                <w:color w:val="000000"/>
                <w:sz w:val="22"/>
                <w:lang w:val="en-US" w:eastAsia="zh-CN"/>
              </w:rPr>
              <w:t>25</w:t>
            </w:r>
          </w:p>
        </w:tc>
      </w:tr>
      <w:tr>
        <w:tblPrEx>
          <w:tblCellMar>
            <w:top w:w="0" w:type="dxa"/>
            <w:left w:w="108" w:type="dxa"/>
            <w:bottom w:w="0" w:type="dxa"/>
            <w:right w:w="108" w:type="dxa"/>
          </w:tblCellMar>
        </w:tblPrEx>
        <w:trPr>
          <w:trHeight w:val="340" w:hRule="atLeast"/>
          <w:jc w:val="center"/>
        </w:trPr>
        <w:tc>
          <w:tcPr>
            <w:tcW w:w="3137" w:type="dxa"/>
            <w:tcBorders>
              <w:top w:val="nil"/>
              <w:left w:val="single" w:color="auto" w:sz="4" w:space="0"/>
              <w:bottom w:val="single" w:color="auto" w:sz="4" w:space="0"/>
              <w:right w:val="single" w:color="auto" w:sz="4" w:space="0"/>
            </w:tcBorders>
            <w:shd w:val="clear" w:color="auto" w:fill="auto"/>
            <w:vAlign w:val="center"/>
          </w:tcPr>
          <w:p>
            <w:pPr>
              <w:jc w:val="center"/>
              <w:rPr>
                <w:rFonts w:cs="宋体"/>
                <w:b/>
                <w:bCs/>
                <w:color w:val="000000"/>
                <w:sz w:val="22"/>
              </w:rPr>
            </w:pPr>
            <w:r>
              <w:rPr>
                <w:rFonts w:hint="eastAsia" w:cs="宋体"/>
                <w:b/>
                <w:bCs/>
                <w:color w:val="000000"/>
                <w:sz w:val="22"/>
              </w:rPr>
              <w:t>合计</w:t>
            </w:r>
          </w:p>
        </w:tc>
        <w:tc>
          <w:tcPr>
            <w:tcW w:w="216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c>
          <w:tcPr>
            <w:tcW w:w="2278" w:type="dxa"/>
            <w:tcBorders>
              <w:top w:val="nil"/>
              <w:left w:val="nil"/>
              <w:bottom w:val="single" w:color="auto" w:sz="4" w:space="0"/>
              <w:right w:val="single" w:color="auto" w:sz="4" w:space="0"/>
            </w:tcBorders>
            <w:shd w:val="clear" w:color="auto" w:fill="auto"/>
            <w:vAlign w:val="center"/>
          </w:tcPr>
          <w:p>
            <w:pPr>
              <w:jc w:val="center"/>
              <w:rPr>
                <w:rFonts w:hint="default" w:eastAsia="仿宋_GB2312"/>
                <w:b/>
                <w:bCs/>
                <w:color w:val="000000"/>
                <w:sz w:val="22"/>
                <w:lang w:val="en-US" w:eastAsia="zh-CN"/>
              </w:rPr>
            </w:pPr>
            <w:r>
              <w:rPr>
                <w:rFonts w:hint="eastAsia"/>
                <w:b/>
                <w:bCs/>
                <w:color w:val="000000"/>
                <w:sz w:val="22"/>
                <w:lang w:val="en-US" w:eastAsia="zh-CN"/>
              </w:rPr>
              <w:t>100</w:t>
            </w:r>
          </w:p>
        </w:tc>
      </w:tr>
    </w:tbl>
    <w:p>
      <w:pPr>
        <w:pStyle w:val="3"/>
        <w:spacing w:line="360" w:lineRule="auto"/>
        <w:rPr>
          <w:rFonts w:hint="eastAsia" w:ascii="仿宋_GB2312" w:eastAsia="仿宋_GB2312"/>
          <w:b w:val="0"/>
          <w:bCs w:val="0"/>
        </w:rPr>
      </w:pPr>
      <w:bookmarkStart w:id="9" w:name="_Toc68703836"/>
      <w:r>
        <w:rPr>
          <w:rFonts w:hint="eastAsia" w:ascii="仿宋_GB2312" w:eastAsia="仿宋_GB2312"/>
          <w:b w:val="0"/>
          <w:bCs w:val="0"/>
        </w:rPr>
        <w:t>（二）评价结论</w:t>
      </w:r>
      <w:bookmarkEnd w:id="9"/>
    </w:p>
    <w:p>
      <w:pPr>
        <w:spacing w:line="360" w:lineRule="auto"/>
        <w:ind w:firstLine="600" w:firstLineChars="200"/>
        <w:rPr>
          <w:color w:val="FF0000"/>
        </w:rPr>
      </w:pPr>
      <w:r>
        <w:rPr>
          <w:rFonts w:hint="eastAsia"/>
          <w:color w:val="auto"/>
        </w:rPr>
        <w:t>本项目的项目决策、项目过程、项目产出、项目效益均达到了预期要求，最终</w:t>
      </w:r>
      <w:r>
        <w:rPr>
          <w:rFonts w:hint="eastAsia"/>
          <w:color w:val="auto"/>
          <w:lang w:val="en-US" w:eastAsia="zh-CN"/>
        </w:rPr>
        <w:t>评</w:t>
      </w:r>
      <w:r>
        <w:rPr>
          <w:rFonts w:hint="eastAsia"/>
          <w:color w:val="auto"/>
        </w:rPr>
        <w:t>分为100分，</w:t>
      </w:r>
      <w:r>
        <w:rPr>
          <w:rFonts w:hint="eastAsia"/>
          <w:color w:val="auto"/>
          <w:lang w:val="en-US" w:eastAsia="zh-CN"/>
        </w:rPr>
        <w:t>评价等级为“优”</w:t>
      </w:r>
      <w:r>
        <w:rPr>
          <w:rFonts w:hint="eastAsia"/>
          <w:color w:val="auto"/>
        </w:rPr>
        <w:t>项目达成年度指标</w:t>
      </w:r>
      <w:r>
        <w:rPr>
          <w:rFonts w:hint="eastAsia"/>
          <w:color w:val="auto"/>
          <w:lang w:eastAsia="zh-CN"/>
        </w:rPr>
        <w:t>。</w:t>
      </w:r>
    </w:p>
    <w:p>
      <w:pPr>
        <w:pStyle w:val="2"/>
        <w:spacing w:line="360" w:lineRule="auto"/>
        <w:rPr>
          <w:rFonts w:ascii="宋体" w:hAnsi="宋体" w:eastAsia="宋体"/>
          <w:sz w:val="32"/>
          <w:szCs w:val="32"/>
        </w:rPr>
      </w:pPr>
      <w:bookmarkStart w:id="10" w:name="_Toc68703837"/>
      <w:r>
        <w:rPr>
          <w:rFonts w:hint="eastAsia" w:ascii="宋体" w:hAnsi="宋体" w:eastAsia="宋体"/>
          <w:sz w:val="32"/>
          <w:szCs w:val="32"/>
        </w:rPr>
        <w:t>四、绩效评价指标分析</w:t>
      </w:r>
      <w:bookmarkEnd w:id="10"/>
    </w:p>
    <w:p>
      <w:pPr>
        <w:pStyle w:val="3"/>
        <w:spacing w:line="360" w:lineRule="auto"/>
        <w:rPr>
          <w:rFonts w:hint="eastAsia" w:ascii="仿宋_GB2312" w:eastAsia="仿宋_GB2312"/>
          <w:b w:val="0"/>
          <w:bCs w:val="0"/>
        </w:rPr>
      </w:pPr>
      <w:bookmarkStart w:id="11" w:name="_Toc68703838"/>
      <w:r>
        <w:rPr>
          <w:rFonts w:hint="eastAsia" w:ascii="仿宋_GB2312" w:eastAsia="仿宋_GB2312"/>
          <w:b w:val="0"/>
          <w:bCs w:val="0"/>
        </w:rPr>
        <w:t>（一）项目决策情况。</w:t>
      </w:r>
      <w:bookmarkEnd w:id="11"/>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立项依据充分性</w:t>
      </w:r>
    </w:p>
    <w:p>
      <w:pPr>
        <w:spacing w:line="360" w:lineRule="auto"/>
        <w:ind w:firstLine="600" w:firstLineChars="200"/>
        <w:rPr>
          <w:rFonts w:hint="eastAsia" w:eastAsia="仿宋_GB2312"/>
          <w:color w:val="FF0000"/>
          <w:highlight w:val="none"/>
          <w:lang w:eastAsia="zh-CN"/>
        </w:rPr>
      </w:pPr>
      <w:r>
        <w:rPr>
          <w:rFonts w:hint="eastAsia"/>
          <w:color w:val="auto"/>
          <w:highlight w:val="none"/>
        </w:rPr>
        <w:t>项目立项依据霍党办发【2019】33号关于印发《霍城县商务和个信息化局智能配置、内设机构和人员编制规定》</w:t>
      </w:r>
      <w:r>
        <w:rPr>
          <w:rFonts w:hint="eastAsia"/>
          <w:color w:val="auto"/>
          <w:highlight w:val="none"/>
          <w:lang w:eastAsia="zh-CN"/>
        </w:rPr>
        <w:t>；《中华人民共和国预算法》；专项资金预算批复文件、资金拨付文件及相关财务资料；</w:t>
      </w:r>
      <w:bookmarkStart w:id="21" w:name="_GoBack"/>
      <w:bookmarkEnd w:id="21"/>
    </w:p>
    <w:p>
      <w:pPr>
        <w:spacing w:line="360" w:lineRule="auto"/>
        <w:ind w:firstLine="600" w:firstLineChars="200"/>
        <w:jc w:val="left"/>
        <w:rPr>
          <w:rFonts w:hint="eastAsia"/>
        </w:rPr>
      </w:pPr>
      <w:r>
        <w:rPr>
          <w:rFonts w:hint="eastAsia"/>
        </w:rPr>
        <w:t>2</w:t>
      </w:r>
      <w:r>
        <w:rPr>
          <w:rFonts w:hint="eastAsia"/>
          <w:lang w:val="en-US" w:eastAsia="zh-CN"/>
        </w:rPr>
        <w:t>.</w:t>
      </w:r>
      <w:r>
        <w:rPr>
          <w:rFonts w:hint="eastAsia"/>
        </w:rPr>
        <w:t>立项程序规范性</w:t>
      </w:r>
    </w:p>
    <w:p>
      <w:pPr>
        <w:spacing w:line="360" w:lineRule="auto"/>
        <w:ind w:firstLine="600" w:firstLineChars="200"/>
        <w:rPr>
          <w:color w:val="auto"/>
        </w:rPr>
      </w:pPr>
      <w:r>
        <w:rPr>
          <w:rFonts w:hint="eastAsia"/>
          <w:color w:val="auto"/>
        </w:rPr>
        <w:t>项目按照规定的程序申请设立；审批文件、材料符合相关要求；</w:t>
      </w:r>
    </w:p>
    <w:p>
      <w:pPr>
        <w:spacing w:line="360" w:lineRule="auto"/>
        <w:rPr>
          <w:color w:val="auto"/>
        </w:rPr>
      </w:pPr>
      <w:r>
        <w:rPr>
          <w:rFonts w:hint="eastAsia"/>
          <w:color w:val="auto"/>
        </w:rPr>
        <w:t>事前是否已经过必要的可行性研究、专家论证、风险评估、绩效评估、集体决策。</w:t>
      </w:r>
    </w:p>
    <w:p>
      <w:pPr>
        <w:spacing w:line="360" w:lineRule="auto"/>
        <w:ind w:firstLine="600" w:firstLineChars="200"/>
        <w:jc w:val="left"/>
        <w:rPr>
          <w:rFonts w:hint="eastAsia"/>
        </w:rPr>
      </w:pPr>
      <w:r>
        <w:rPr>
          <w:rFonts w:hint="eastAsia"/>
        </w:rPr>
        <w:t>3</w:t>
      </w:r>
      <w:r>
        <w:rPr>
          <w:rFonts w:hint="eastAsia"/>
          <w:lang w:val="en-US" w:eastAsia="zh-CN"/>
        </w:rPr>
        <w:t>.</w:t>
      </w:r>
      <w:r>
        <w:rPr>
          <w:rFonts w:hint="eastAsia"/>
        </w:rPr>
        <w:t>绩效目标合理性</w:t>
      </w:r>
    </w:p>
    <w:p>
      <w:pPr>
        <w:spacing w:line="360" w:lineRule="auto"/>
        <w:ind w:firstLine="600" w:firstLineChars="200"/>
        <w:rPr>
          <w:color w:val="auto"/>
        </w:rPr>
      </w:pPr>
      <w:r>
        <w:rPr>
          <w:rFonts w:hint="eastAsia" w:ascii="Times New Roman" w:hAnsi="Times New Roman" w:eastAsia="仿宋_GB2312" w:cs="Times New Roman"/>
          <w:b w:val="0"/>
          <w:bCs w:val="0"/>
          <w:color w:val="auto"/>
          <w:sz w:val="30"/>
          <w:szCs w:val="24"/>
        </w:rPr>
        <w:t>2022年招商引资</w:t>
      </w:r>
      <w:r>
        <w:rPr>
          <w:rFonts w:hint="eastAsia"/>
          <w:color w:val="auto"/>
        </w:rPr>
        <w:t>设立了项目绩效目标，与</w:t>
      </w:r>
      <w:r>
        <w:rPr>
          <w:rFonts w:hint="eastAsia"/>
          <w:color w:val="auto"/>
          <w:lang w:eastAsia="zh-CN"/>
        </w:rPr>
        <w:t>招商引资</w:t>
      </w:r>
      <w:r>
        <w:rPr>
          <w:rFonts w:hint="eastAsia"/>
          <w:color w:val="auto"/>
        </w:rPr>
        <w:t>具有相关性，项目的预期产出效益和效果也均能符合正常的业绩水平，并且与预算确定的项目投资额或资金量相匹配。</w:t>
      </w:r>
    </w:p>
    <w:p>
      <w:pPr>
        <w:spacing w:line="360" w:lineRule="auto"/>
        <w:ind w:firstLine="600" w:firstLineChars="200"/>
        <w:jc w:val="left"/>
        <w:rPr>
          <w:rFonts w:hint="eastAsia"/>
        </w:rPr>
      </w:pPr>
      <w:r>
        <w:rPr>
          <w:rFonts w:hint="eastAsia"/>
        </w:rPr>
        <w:t>4</w:t>
      </w:r>
      <w:r>
        <w:rPr>
          <w:rFonts w:hint="eastAsia"/>
          <w:lang w:val="en-US" w:eastAsia="zh-CN"/>
        </w:rPr>
        <w:t>.</w:t>
      </w:r>
      <w:r>
        <w:rPr>
          <w:rFonts w:hint="eastAsia"/>
        </w:rPr>
        <w:t>绩效指标明确性</w:t>
      </w:r>
    </w:p>
    <w:p>
      <w:pPr>
        <w:spacing w:line="360" w:lineRule="auto"/>
        <w:ind w:firstLine="600" w:firstLineChars="200"/>
        <w:rPr>
          <w:color w:val="auto"/>
        </w:rPr>
      </w:pPr>
      <w:bookmarkStart w:id="12" w:name="_Hlk68699917"/>
      <w:r>
        <w:rPr>
          <w:rFonts w:hint="eastAsia" w:ascii="Times New Roman" w:hAnsi="Times New Roman" w:eastAsia="仿宋_GB2312" w:cs="Times New Roman"/>
          <w:b w:val="0"/>
          <w:bCs w:val="0"/>
          <w:color w:val="auto"/>
          <w:sz w:val="30"/>
          <w:szCs w:val="24"/>
        </w:rPr>
        <w:t>2022年招商引资</w:t>
      </w:r>
      <w:r>
        <w:rPr>
          <w:rFonts w:hint="eastAsia"/>
          <w:color w:val="auto"/>
        </w:rPr>
        <w:t>项目将项目绩效目标细化分解为具体的绩效指标，一级指标共</w:t>
      </w:r>
      <w:r>
        <w:rPr>
          <w:rFonts w:hint="eastAsia"/>
          <w:color w:val="auto"/>
          <w:lang w:val="en-US" w:eastAsia="zh-CN"/>
        </w:rPr>
        <w:t>3</w:t>
      </w:r>
      <w:r>
        <w:rPr>
          <w:rFonts w:hint="eastAsia"/>
          <w:color w:val="auto"/>
        </w:rPr>
        <w:t>条，二级指标共</w:t>
      </w:r>
      <w:r>
        <w:rPr>
          <w:rFonts w:hint="eastAsia"/>
          <w:color w:val="auto"/>
          <w:lang w:val="en-US" w:eastAsia="zh-CN"/>
        </w:rPr>
        <w:t>6</w:t>
      </w:r>
      <w:r>
        <w:rPr>
          <w:rFonts w:hint="eastAsia"/>
          <w:color w:val="auto"/>
        </w:rPr>
        <w:t>条，三级指标共</w:t>
      </w:r>
      <w:r>
        <w:rPr>
          <w:rFonts w:hint="eastAsia"/>
          <w:color w:val="auto"/>
          <w:lang w:val="en-US" w:eastAsia="zh-CN"/>
        </w:rPr>
        <w:t>10</w:t>
      </w:r>
      <w:r>
        <w:rPr>
          <w:rFonts w:hint="eastAsia"/>
          <w:color w:val="auto"/>
        </w:rPr>
        <w:t>条，</w:t>
      </w:r>
      <w:r>
        <w:rPr>
          <w:rFonts w:hint="eastAsia"/>
          <w:color w:val="auto"/>
          <w:lang w:eastAsia="zh-CN"/>
        </w:rPr>
        <w:t>其中量化指标条数共</w:t>
      </w:r>
      <w:r>
        <w:rPr>
          <w:rFonts w:hint="eastAsia"/>
          <w:color w:val="auto"/>
          <w:lang w:val="en-US" w:eastAsia="zh-CN"/>
        </w:rPr>
        <w:t>8条，</w:t>
      </w:r>
      <w:r>
        <w:rPr>
          <w:rFonts w:hint="eastAsia"/>
          <w:color w:val="auto"/>
        </w:rPr>
        <w:t>所有绩效指标均通过清晰、可衡量的指标值予以体现，并且做到了与项目目标任务数或计划数相对应。</w:t>
      </w:r>
      <w:bookmarkEnd w:id="12"/>
    </w:p>
    <w:p>
      <w:pPr>
        <w:spacing w:line="360" w:lineRule="auto"/>
        <w:ind w:firstLine="600" w:firstLineChars="200"/>
        <w:jc w:val="left"/>
        <w:rPr>
          <w:rFonts w:hint="eastAsia"/>
        </w:rPr>
      </w:pPr>
      <w:r>
        <w:rPr>
          <w:rFonts w:hint="eastAsia"/>
        </w:rPr>
        <w:t>5</w:t>
      </w:r>
      <w:r>
        <w:rPr>
          <w:rFonts w:hint="eastAsia"/>
          <w:lang w:val="en-US" w:eastAsia="zh-CN"/>
        </w:rPr>
        <w:t>.</w:t>
      </w:r>
      <w:r>
        <w:rPr>
          <w:rFonts w:hint="eastAsia"/>
        </w:rPr>
        <w:t>预算编制科学性</w:t>
      </w:r>
    </w:p>
    <w:p>
      <w:pPr>
        <w:spacing w:line="360" w:lineRule="auto"/>
        <w:ind w:firstLine="600" w:firstLineChars="200"/>
        <w:rPr>
          <w:color w:val="auto"/>
        </w:rPr>
      </w:pPr>
      <w:r>
        <w:rPr>
          <w:rFonts w:hint="eastAsia"/>
          <w:color w:val="auto"/>
        </w:rPr>
        <w:t>预算编制经过科学论证；预算内容与项目内容匹配；预算额度测算依据充分，按照标准编制；预算确定的项目投资额或资金量与工作任务相匹配。</w:t>
      </w:r>
    </w:p>
    <w:p>
      <w:pPr>
        <w:spacing w:line="360" w:lineRule="auto"/>
        <w:ind w:firstLine="600" w:firstLineChars="200"/>
        <w:jc w:val="left"/>
        <w:rPr>
          <w:rFonts w:hint="eastAsia"/>
        </w:rPr>
      </w:pPr>
      <w:r>
        <w:rPr>
          <w:rFonts w:hint="eastAsia"/>
        </w:rPr>
        <w:t>6</w:t>
      </w:r>
      <w:r>
        <w:rPr>
          <w:rFonts w:hint="eastAsia"/>
          <w:lang w:val="en-US" w:eastAsia="zh-CN"/>
        </w:rPr>
        <w:t>.</w:t>
      </w:r>
      <w:r>
        <w:rPr>
          <w:rFonts w:hint="eastAsia"/>
        </w:rPr>
        <w:t>资金分配合理性</w:t>
      </w:r>
    </w:p>
    <w:p>
      <w:pPr>
        <w:spacing w:line="360" w:lineRule="auto"/>
        <w:ind w:firstLine="600" w:firstLineChars="200"/>
        <w:rPr>
          <w:color w:val="auto"/>
        </w:rPr>
      </w:pPr>
      <w:r>
        <w:rPr>
          <w:rFonts w:hint="eastAsia"/>
          <w:color w:val="auto"/>
        </w:rPr>
        <w:t>预算资金分配依据充分；资金分配额度合理，与项目单位或地方实际相适应。</w:t>
      </w:r>
    </w:p>
    <w:p>
      <w:pPr>
        <w:pStyle w:val="3"/>
        <w:spacing w:line="360" w:lineRule="auto"/>
        <w:rPr>
          <w:rFonts w:hint="eastAsia" w:ascii="仿宋_GB2312" w:eastAsia="仿宋_GB2312"/>
          <w:b w:val="0"/>
          <w:bCs w:val="0"/>
        </w:rPr>
      </w:pPr>
      <w:bookmarkStart w:id="13" w:name="_Toc68703839"/>
      <w:r>
        <w:rPr>
          <w:rFonts w:hint="eastAsia" w:ascii="仿宋_GB2312" w:eastAsia="仿宋_GB2312"/>
          <w:b w:val="0"/>
          <w:bCs w:val="0"/>
        </w:rPr>
        <w:t>（二）项目过程情况。</w:t>
      </w:r>
      <w:bookmarkEnd w:id="13"/>
    </w:p>
    <w:p>
      <w:pPr>
        <w:spacing w:line="360" w:lineRule="auto"/>
        <w:ind w:firstLine="600" w:firstLineChars="200"/>
        <w:jc w:val="left"/>
        <w:rPr>
          <w:rFonts w:hint="eastAsia"/>
        </w:rPr>
      </w:pPr>
      <w:r>
        <w:rPr>
          <w:rFonts w:hint="eastAsia"/>
        </w:rPr>
        <w:t>1</w:t>
      </w:r>
      <w:r>
        <w:rPr>
          <w:rFonts w:hint="eastAsia"/>
          <w:lang w:val="en-US" w:eastAsia="zh-CN"/>
        </w:rPr>
        <w:t>.</w:t>
      </w:r>
      <w:r>
        <w:rPr>
          <w:rFonts w:hint="eastAsia"/>
        </w:rPr>
        <w:t>资金到位率</w:t>
      </w:r>
    </w:p>
    <w:p>
      <w:pPr>
        <w:spacing w:line="360" w:lineRule="auto"/>
        <w:ind w:firstLine="600" w:firstLineChars="200"/>
        <w:rPr>
          <w:color w:val="auto"/>
        </w:rPr>
      </w:pPr>
      <w:r>
        <w:rPr>
          <w:rFonts w:hint="eastAsia"/>
          <w:color w:val="auto"/>
        </w:rPr>
        <w:t>预算资金</w:t>
      </w:r>
      <w:r>
        <w:rPr>
          <w:rFonts w:hint="eastAsia"/>
          <w:color w:val="auto"/>
          <w:lang w:val="en-US" w:eastAsia="zh-CN"/>
        </w:rPr>
        <w:t>36.12</w:t>
      </w:r>
      <w:r>
        <w:rPr>
          <w:rFonts w:hint="eastAsia"/>
          <w:color w:val="auto"/>
        </w:rPr>
        <w:t>万元，实际到位资金</w:t>
      </w:r>
      <w:r>
        <w:rPr>
          <w:rFonts w:hint="eastAsia"/>
          <w:color w:val="auto"/>
          <w:lang w:val="en-US" w:eastAsia="zh-CN"/>
        </w:rPr>
        <w:t>36.12</w:t>
      </w:r>
      <w:r>
        <w:rPr>
          <w:rFonts w:hint="eastAsia"/>
          <w:color w:val="auto"/>
        </w:rPr>
        <w:t>万元，资金到位率</w:t>
      </w:r>
      <w:r>
        <w:rPr>
          <w:rFonts w:hint="eastAsia"/>
          <w:color w:val="auto"/>
          <w:lang w:val="en-US" w:eastAsia="zh-CN"/>
        </w:rPr>
        <w:t>100</w:t>
      </w:r>
      <w:r>
        <w:rPr>
          <w:rFonts w:hint="eastAsia"/>
          <w:color w:val="auto"/>
        </w:rPr>
        <w:t>%。</w:t>
      </w:r>
    </w:p>
    <w:p>
      <w:pPr>
        <w:spacing w:line="360" w:lineRule="auto"/>
        <w:ind w:firstLine="600" w:firstLineChars="200"/>
        <w:jc w:val="left"/>
        <w:rPr>
          <w:rFonts w:hint="eastAsia"/>
        </w:rPr>
      </w:pPr>
      <w:r>
        <w:rPr>
          <w:rFonts w:hint="eastAsia"/>
        </w:rPr>
        <w:t>2</w:t>
      </w:r>
      <w:r>
        <w:rPr>
          <w:rFonts w:hint="eastAsia"/>
          <w:lang w:val="en-US" w:eastAsia="zh-CN"/>
        </w:rPr>
        <w:t>.</w:t>
      </w:r>
      <w:r>
        <w:rPr>
          <w:rFonts w:hint="eastAsia"/>
        </w:rPr>
        <w:t>预算执行率</w:t>
      </w:r>
    </w:p>
    <w:p>
      <w:pPr>
        <w:spacing w:line="360" w:lineRule="auto"/>
        <w:ind w:firstLine="600" w:firstLineChars="200"/>
        <w:rPr>
          <w:rFonts w:hint="eastAsia" w:eastAsia="仿宋_GB2312"/>
          <w:color w:val="auto"/>
          <w:lang w:eastAsia="zh-CN"/>
        </w:rPr>
      </w:pPr>
      <w:r>
        <w:rPr>
          <w:rFonts w:hint="eastAsia"/>
          <w:color w:val="auto"/>
        </w:rPr>
        <w:t>年初预算数</w:t>
      </w:r>
      <w:r>
        <w:rPr>
          <w:rFonts w:hint="eastAsia"/>
          <w:color w:val="auto"/>
          <w:lang w:val="en-US" w:eastAsia="zh-CN"/>
        </w:rPr>
        <w:t>50</w:t>
      </w:r>
      <w:r>
        <w:rPr>
          <w:rFonts w:hint="eastAsia"/>
          <w:color w:val="auto"/>
        </w:rPr>
        <w:t>万元，全年预算数</w:t>
      </w:r>
      <w:r>
        <w:rPr>
          <w:rFonts w:hint="eastAsia"/>
          <w:color w:val="auto"/>
          <w:lang w:val="en-US" w:eastAsia="zh-CN"/>
        </w:rPr>
        <w:t>36.12</w:t>
      </w:r>
      <w:r>
        <w:rPr>
          <w:rFonts w:hint="eastAsia"/>
          <w:color w:val="auto"/>
        </w:rPr>
        <w:t>万元，全年执行数</w:t>
      </w:r>
      <w:r>
        <w:rPr>
          <w:rFonts w:hint="eastAsia"/>
          <w:color w:val="auto"/>
          <w:lang w:val="en-US" w:eastAsia="zh-CN"/>
        </w:rPr>
        <w:t>36.12</w:t>
      </w:r>
      <w:r>
        <w:rPr>
          <w:rFonts w:hint="eastAsia"/>
          <w:color w:val="auto"/>
        </w:rPr>
        <w:t>万元，预算执行率为</w:t>
      </w:r>
      <w:r>
        <w:rPr>
          <w:rFonts w:hint="eastAsia"/>
          <w:color w:val="auto"/>
          <w:lang w:val="en-US" w:eastAsia="zh-CN"/>
        </w:rPr>
        <w:t>100</w:t>
      </w:r>
      <w:r>
        <w:rPr>
          <w:rFonts w:hint="eastAsia"/>
          <w:color w:val="auto"/>
        </w:rPr>
        <w:t>%</w:t>
      </w:r>
      <w:r>
        <w:rPr>
          <w:rFonts w:hint="eastAsia"/>
          <w:color w:val="auto"/>
          <w:lang w:eastAsia="zh-CN"/>
        </w:rPr>
        <w:t>。</w:t>
      </w:r>
    </w:p>
    <w:p>
      <w:pPr>
        <w:spacing w:line="360" w:lineRule="auto"/>
        <w:ind w:firstLine="600" w:firstLineChars="200"/>
        <w:jc w:val="left"/>
        <w:rPr>
          <w:rFonts w:hint="eastAsia"/>
        </w:rPr>
      </w:pPr>
      <w:r>
        <w:rPr>
          <w:rFonts w:hint="eastAsia"/>
        </w:rPr>
        <w:t>3</w:t>
      </w:r>
      <w:r>
        <w:rPr>
          <w:rFonts w:hint="eastAsia"/>
          <w:lang w:val="en-US" w:eastAsia="zh-CN"/>
        </w:rPr>
        <w:t>.</w:t>
      </w:r>
      <w:r>
        <w:rPr>
          <w:rFonts w:hint="eastAsia"/>
        </w:rPr>
        <w:t>资金使用合规性</w:t>
      </w:r>
    </w:p>
    <w:p>
      <w:pPr>
        <w:spacing w:line="360" w:lineRule="auto"/>
        <w:ind w:firstLine="600" w:firstLineChars="200"/>
        <w:rPr>
          <w:rFonts w:hint="eastAsia" w:eastAsia="仿宋_GB2312"/>
          <w:color w:val="auto"/>
          <w:lang w:eastAsia="zh-CN"/>
        </w:rPr>
      </w:pPr>
      <w:r>
        <w:rPr>
          <w:rFonts w:hint="eastAsia"/>
          <w:color w:val="auto"/>
        </w:rPr>
        <w:t>符合国家财经法规和财务管理制度以及有关专项资金管理办法的规定；资金的拨付有完整的审批程序和手续；符合项目预算批复或合同规定的用途；</w:t>
      </w:r>
      <w:r>
        <w:rPr>
          <w:rFonts w:hint="eastAsia"/>
          <w:color w:val="auto"/>
          <w:lang w:eastAsia="zh-CN"/>
        </w:rPr>
        <w:t>不</w:t>
      </w:r>
      <w:r>
        <w:rPr>
          <w:rFonts w:hint="eastAsia"/>
          <w:color w:val="auto"/>
        </w:rPr>
        <w:t>存在截留、挤占、挪用、虚列支出等情况</w:t>
      </w:r>
      <w:r>
        <w:rPr>
          <w:rFonts w:hint="eastAsia"/>
          <w:color w:val="auto"/>
          <w:lang w:eastAsia="zh-CN"/>
        </w:rPr>
        <w:t>。</w:t>
      </w:r>
    </w:p>
    <w:p>
      <w:pPr>
        <w:spacing w:line="360" w:lineRule="auto"/>
        <w:ind w:firstLine="600" w:firstLineChars="200"/>
        <w:jc w:val="left"/>
        <w:rPr>
          <w:rFonts w:hint="eastAsia"/>
        </w:rPr>
      </w:pPr>
      <w:r>
        <w:rPr>
          <w:rFonts w:hint="eastAsia"/>
        </w:rPr>
        <w:t>4</w:t>
      </w:r>
      <w:r>
        <w:rPr>
          <w:rFonts w:hint="eastAsia"/>
          <w:lang w:val="en-US" w:eastAsia="zh-CN"/>
        </w:rPr>
        <w:t>.</w:t>
      </w:r>
      <w:r>
        <w:rPr>
          <w:rFonts w:hint="eastAsia"/>
        </w:rPr>
        <w:t>管理制度健全性</w:t>
      </w:r>
    </w:p>
    <w:p>
      <w:pPr>
        <w:spacing w:line="360" w:lineRule="auto"/>
        <w:ind w:firstLine="600" w:firstLineChars="200"/>
        <w:rPr>
          <w:color w:val="auto"/>
        </w:rPr>
      </w:pPr>
      <w:r>
        <w:rPr>
          <w:rFonts w:hint="eastAsia"/>
          <w:color w:val="auto"/>
        </w:rPr>
        <w:t>已制定或具有相应的财务和业务管理制度；财务和业务管理制度合法、合规、完整。</w:t>
      </w:r>
    </w:p>
    <w:p>
      <w:pPr>
        <w:spacing w:line="360" w:lineRule="auto"/>
        <w:ind w:firstLine="600" w:firstLineChars="200"/>
        <w:jc w:val="left"/>
        <w:rPr>
          <w:rFonts w:hint="eastAsia"/>
        </w:rPr>
      </w:pPr>
      <w:r>
        <w:rPr>
          <w:rFonts w:hint="eastAsia"/>
        </w:rPr>
        <w:t>5</w:t>
      </w:r>
      <w:r>
        <w:rPr>
          <w:rFonts w:hint="eastAsia"/>
          <w:lang w:val="en-US" w:eastAsia="zh-CN"/>
        </w:rPr>
        <w:t>.</w:t>
      </w:r>
      <w:r>
        <w:rPr>
          <w:rFonts w:hint="eastAsia"/>
        </w:rPr>
        <w:t>制度执行有效性</w:t>
      </w:r>
    </w:p>
    <w:p>
      <w:pPr>
        <w:spacing w:line="360" w:lineRule="auto"/>
        <w:ind w:firstLine="600" w:firstLineChars="200"/>
        <w:rPr>
          <w:color w:val="auto"/>
        </w:rPr>
      </w:pPr>
      <w:r>
        <w:rPr>
          <w:rFonts w:hint="eastAsia"/>
          <w:color w:val="auto"/>
        </w:rPr>
        <w:t>遵守相关法律法规和相关管理规定；项目调整及支出调整手续完备；项目合同书、验收报告、技术鉴定等资料齐全并及时归档；项目实施的人员条件、场地设备、信息支撑等落实到位。</w:t>
      </w:r>
    </w:p>
    <w:p>
      <w:pPr>
        <w:pStyle w:val="3"/>
        <w:spacing w:line="360" w:lineRule="auto"/>
        <w:rPr>
          <w:rFonts w:hint="eastAsia" w:ascii="仿宋_GB2312" w:eastAsia="仿宋_GB2312"/>
          <w:b w:val="0"/>
          <w:bCs w:val="0"/>
        </w:rPr>
      </w:pPr>
      <w:bookmarkStart w:id="14" w:name="_Toc68703840"/>
      <w:r>
        <w:rPr>
          <w:rFonts w:hint="eastAsia" w:ascii="仿宋_GB2312" w:eastAsia="仿宋_GB2312"/>
          <w:b w:val="0"/>
          <w:bCs w:val="0"/>
        </w:rPr>
        <w:t>（三）项目产出情况。</w:t>
      </w:r>
      <w:bookmarkEnd w:id="14"/>
    </w:p>
    <w:p>
      <w:pPr>
        <w:spacing w:line="360" w:lineRule="auto"/>
        <w:ind w:firstLine="600" w:firstLineChars="200"/>
        <w:rPr>
          <w:rFonts w:hint="eastAsia"/>
          <w:color w:val="auto"/>
          <w:lang w:eastAsia="zh-CN"/>
        </w:rPr>
      </w:pPr>
      <w:r>
        <w:rPr>
          <w:rFonts w:hint="eastAsia"/>
          <w:color w:val="auto"/>
        </w:rPr>
        <w:t>1</w:t>
      </w:r>
      <w:r>
        <w:rPr>
          <w:rFonts w:hint="eastAsia"/>
          <w:color w:val="auto"/>
          <w:lang w:val="en-US" w:eastAsia="zh-CN"/>
        </w:rPr>
        <w:t>.</w:t>
      </w:r>
      <w:r>
        <w:rPr>
          <w:rFonts w:hint="eastAsia"/>
          <w:color w:val="auto"/>
        </w:rPr>
        <w:t>数量指标：指标1：保障外出招商次数，指标值：&gt;=7次，实际完成值</w:t>
      </w:r>
      <w:r>
        <w:rPr>
          <w:rFonts w:hint="eastAsia"/>
          <w:color w:val="auto"/>
          <w:lang w:val="en-US" w:eastAsia="zh-CN"/>
        </w:rPr>
        <w:t>7次</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指标2：签单接待次数，指标值：&gt;=8次，实际完成值</w:t>
      </w:r>
      <w:r>
        <w:rPr>
          <w:rFonts w:hint="eastAsia"/>
          <w:color w:val="auto"/>
          <w:lang w:val="en-US" w:eastAsia="zh-CN"/>
        </w:rPr>
        <w:t>8次</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spacing w:line="360" w:lineRule="auto"/>
        <w:ind w:firstLine="600" w:firstLineChars="200"/>
        <w:rPr>
          <w:rFonts w:hint="eastAsia"/>
          <w:color w:val="auto"/>
        </w:rPr>
      </w:pPr>
      <w:r>
        <w:rPr>
          <w:color w:val="auto"/>
        </w:rPr>
        <w:t>2</w:t>
      </w:r>
      <w:r>
        <w:rPr>
          <w:rFonts w:hint="eastAsia"/>
          <w:color w:val="auto"/>
          <w:lang w:val="en-US" w:eastAsia="zh-CN"/>
        </w:rPr>
        <w:t>.</w:t>
      </w:r>
      <w:r>
        <w:rPr>
          <w:rFonts w:hint="eastAsia"/>
          <w:color w:val="auto"/>
        </w:rPr>
        <w:t>质量指标：指标1：招商引资任务按期完成率，指标值：&gt;=90%，实际完成值105.37%，指标完成率</w:t>
      </w:r>
      <w:r>
        <w:rPr>
          <w:rFonts w:hint="eastAsia"/>
          <w:color w:val="auto"/>
          <w:lang w:val="en-US" w:eastAsia="zh-CN"/>
        </w:rPr>
        <w:t>117.08</w:t>
      </w:r>
      <w:r>
        <w:rPr>
          <w:rFonts w:hint="eastAsia"/>
          <w:color w:val="auto"/>
        </w:rPr>
        <w:t>%</w:t>
      </w:r>
      <w:r>
        <w:rPr>
          <w:rFonts w:hint="eastAsia"/>
          <w:color w:val="auto"/>
          <w:lang w:eastAsia="zh-CN"/>
        </w:rPr>
        <w:t>，</w:t>
      </w:r>
      <w:r>
        <w:rPr>
          <w:rFonts w:hint="eastAsia"/>
          <w:color w:val="auto"/>
        </w:rPr>
        <w:t>偏差原因：</w:t>
      </w:r>
      <w:r>
        <w:rPr>
          <w:rFonts w:hint="eastAsia"/>
          <w:color w:val="auto"/>
          <w:lang w:eastAsia="zh-CN"/>
        </w:rPr>
        <w:t>超额完成目标任务。</w:t>
      </w:r>
    </w:p>
    <w:p>
      <w:pPr>
        <w:spacing w:line="360" w:lineRule="auto"/>
        <w:ind w:firstLine="600" w:firstLineChars="200"/>
        <w:rPr>
          <w:rFonts w:hint="default" w:eastAsia="仿宋_GB2312"/>
          <w:color w:val="auto"/>
          <w:lang w:val="en-US" w:eastAsia="zh-CN"/>
        </w:rPr>
      </w:pPr>
      <w:r>
        <w:rPr>
          <w:rFonts w:hint="eastAsia"/>
          <w:color w:val="auto"/>
        </w:rPr>
        <w:t>3</w:t>
      </w:r>
      <w:r>
        <w:rPr>
          <w:rFonts w:hint="eastAsia"/>
          <w:color w:val="auto"/>
          <w:lang w:val="en-US" w:eastAsia="zh-CN"/>
        </w:rPr>
        <w:t>.</w:t>
      </w:r>
      <w:r>
        <w:rPr>
          <w:rFonts w:hint="eastAsia"/>
          <w:color w:val="auto"/>
        </w:rPr>
        <w:t>时效指标：指标1：公用经费支付及时率</w:t>
      </w:r>
      <w:r>
        <w:rPr>
          <w:rFonts w:hint="eastAsia"/>
          <w:color w:val="auto"/>
          <w:lang w:eastAsia="zh-CN"/>
        </w:rPr>
        <w:t>，指标值：</w:t>
      </w:r>
      <w:r>
        <w:rPr>
          <w:rFonts w:hint="eastAsia"/>
          <w:color w:val="auto"/>
          <w:lang w:val="en-US" w:eastAsia="zh-CN"/>
        </w:rPr>
        <w:t>1，实际完成值1，指标完成率100</w:t>
      </w:r>
      <w:r>
        <w:rPr>
          <w:rFonts w:hint="eastAsia"/>
          <w:color w:val="auto"/>
        </w:rPr>
        <w:t>%</w:t>
      </w:r>
      <w:r>
        <w:rPr>
          <w:rFonts w:hint="eastAsia"/>
          <w:color w:val="auto"/>
          <w:lang w:eastAsia="zh-CN"/>
        </w:rPr>
        <w:t>。</w:t>
      </w:r>
    </w:p>
    <w:p>
      <w:pPr>
        <w:spacing w:line="360" w:lineRule="auto"/>
        <w:ind w:firstLine="600" w:firstLineChars="200"/>
        <w:rPr>
          <w:rFonts w:hint="eastAsia" w:eastAsia="仿宋_GB2312"/>
          <w:lang w:eastAsia="zh-CN"/>
        </w:rPr>
      </w:pPr>
      <w:r>
        <w:rPr>
          <w:rFonts w:hint="eastAsia"/>
          <w:color w:val="auto"/>
        </w:rPr>
        <w:t>4</w:t>
      </w:r>
      <w:r>
        <w:rPr>
          <w:rFonts w:hint="eastAsia"/>
          <w:color w:val="auto"/>
          <w:lang w:val="en-US" w:eastAsia="zh-CN"/>
        </w:rPr>
        <w:t>.</w:t>
      </w:r>
      <w:r>
        <w:rPr>
          <w:rFonts w:hint="eastAsia"/>
          <w:color w:val="auto"/>
        </w:rPr>
        <w:t>成本指标</w:t>
      </w:r>
      <w:r>
        <w:rPr>
          <w:rFonts w:hint="eastAsia"/>
          <w:color w:val="auto"/>
          <w:lang w:eastAsia="zh-CN"/>
        </w:rPr>
        <w:t>：</w:t>
      </w:r>
      <w:r>
        <w:rPr>
          <w:rFonts w:hint="eastAsia"/>
          <w:color w:val="auto"/>
        </w:rPr>
        <w:t>指标1：每次外出招商费用，指标值：&lt;=4万元，实际完成值</w:t>
      </w:r>
      <w:r>
        <w:rPr>
          <w:rFonts w:hint="eastAsia"/>
          <w:color w:val="auto"/>
          <w:lang w:val="en-US" w:eastAsia="zh-CN"/>
        </w:rPr>
        <w:t>4万元</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指标2：每次签单接待支出，指标值：&lt;=1万元，实际完成值</w:t>
      </w:r>
      <w:r>
        <w:rPr>
          <w:rFonts w:hint="eastAsia"/>
          <w:color w:val="auto"/>
          <w:lang w:val="en-US" w:eastAsia="zh-CN"/>
        </w:rPr>
        <w:t>1万元</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pStyle w:val="3"/>
        <w:spacing w:line="360" w:lineRule="auto"/>
        <w:rPr>
          <w:rFonts w:hint="eastAsia" w:ascii="仿宋_GB2312" w:eastAsia="仿宋_GB2312"/>
          <w:b w:val="0"/>
          <w:bCs w:val="0"/>
        </w:rPr>
      </w:pPr>
      <w:bookmarkStart w:id="15" w:name="_Toc68703841"/>
      <w:r>
        <w:rPr>
          <w:rFonts w:hint="eastAsia" w:ascii="仿宋_GB2312" w:eastAsia="仿宋_GB2312"/>
          <w:b w:val="0"/>
          <w:bCs w:val="0"/>
        </w:rPr>
        <w:t>（四）项目效益情况。</w:t>
      </w:r>
      <w:bookmarkEnd w:id="15"/>
    </w:p>
    <w:p>
      <w:pPr>
        <w:spacing w:line="360" w:lineRule="auto"/>
        <w:ind w:firstLine="600" w:firstLineChars="200"/>
        <w:rPr>
          <w:color w:val="auto"/>
        </w:rPr>
      </w:pPr>
      <w:r>
        <w:rPr>
          <w:color w:val="auto"/>
        </w:rPr>
        <w:t>1</w:t>
      </w:r>
      <w:r>
        <w:rPr>
          <w:rFonts w:hint="eastAsia"/>
          <w:color w:val="auto"/>
          <w:lang w:val="en-US" w:eastAsia="zh-CN"/>
        </w:rPr>
        <w:t>.</w:t>
      </w:r>
      <w:r>
        <w:rPr>
          <w:rFonts w:hint="eastAsia"/>
          <w:color w:val="auto"/>
        </w:rPr>
        <w:t>经济效益指标：指标1：完成招商引资任务</w:t>
      </w:r>
      <w:r>
        <w:rPr>
          <w:rFonts w:hint="eastAsia"/>
          <w:color w:val="auto"/>
          <w:lang w:eastAsia="zh-CN"/>
        </w:rPr>
        <w:t>，指标值：</w:t>
      </w:r>
      <w:r>
        <w:rPr>
          <w:rFonts w:hint="eastAsia"/>
          <w:color w:val="auto"/>
          <w:lang w:val="en-US" w:eastAsia="zh-CN"/>
        </w:rPr>
        <w:t>&gt;=40亿，实际完成值56.9亿，指标完成率142.25</w:t>
      </w:r>
      <w:r>
        <w:rPr>
          <w:rFonts w:hint="eastAsia"/>
          <w:color w:val="auto"/>
        </w:rPr>
        <w:t>%</w:t>
      </w:r>
      <w:r>
        <w:rPr>
          <w:rFonts w:hint="eastAsia"/>
          <w:color w:val="auto"/>
          <w:lang w:eastAsia="zh-CN"/>
        </w:rPr>
        <w:t>，</w:t>
      </w:r>
      <w:r>
        <w:rPr>
          <w:rFonts w:hint="eastAsia"/>
          <w:color w:val="auto"/>
          <w:highlight w:val="none"/>
          <w:lang w:eastAsia="zh-CN"/>
        </w:rPr>
        <w:t>偏差原因为超额完成目标任务</w:t>
      </w:r>
      <w:r>
        <w:rPr>
          <w:rFonts w:hint="eastAsia"/>
          <w:color w:val="auto"/>
          <w:lang w:eastAsia="zh-CN"/>
        </w:rPr>
        <w:t>。</w:t>
      </w:r>
    </w:p>
    <w:p>
      <w:pPr>
        <w:spacing w:line="360" w:lineRule="auto"/>
        <w:ind w:firstLine="600" w:firstLineChars="200"/>
        <w:rPr>
          <w:color w:val="auto"/>
        </w:rPr>
      </w:pPr>
      <w:r>
        <w:rPr>
          <w:rFonts w:hint="eastAsia"/>
          <w:color w:val="auto"/>
        </w:rPr>
        <w:t>2</w:t>
      </w:r>
      <w:r>
        <w:rPr>
          <w:rFonts w:hint="eastAsia"/>
          <w:color w:val="auto"/>
          <w:lang w:val="en-US" w:eastAsia="zh-CN"/>
        </w:rPr>
        <w:t>.</w:t>
      </w:r>
      <w:r>
        <w:rPr>
          <w:rFonts w:hint="eastAsia"/>
          <w:color w:val="auto"/>
        </w:rPr>
        <w:t>社会效益指标：指标1：解决霍城县闲置人员就业，指标值：有效解决，实际完成值</w:t>
      </w:r>
      <w:r>
        <w:rPr>
          <w:rFonts w:hint="eastAsia"/>
          <w:color w:val="auto"/>
          <w:lang w:val="en-US" w:eastAsia="zh-CN"/>
        </w:rPr>
        <w:t>有效解决</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r>
        <w:rPr>
          <w:rFonts w:hint="eastAsia"/>
          <w:color w:val="auto"/>
        </w:rPr>
        <w:t>指标2：促进霍城县经济持续发展，指标值：有效促进，实际完成值</w:t>
      </w:r>
      <w:r>
        <w:rPr>
          <w:rFonts w:hint="eastAsia"/>
          <w:color w:val="auto"/>
          <w:lang w:val="en-US" w:eastAsia="zh-CN"/>
        </w:rPr>
        <w:t>有效促进</w:t>
      </w:r>
      <w:r>
        <w:rPr>
          <w:rFonts w:hint="eastAsia"/>
          <w:color w:val="auto"/>
        </w:rPr>
        <w:t>，指标完成率</w:t>
      </w:r>
      <w:r>
        <w:rPr>
          <w:rFonts w:hint="eastAsia"/>
          <w:color w:val="auto"/>
          <w:lang w:val="en-US" w:eastAsia="zh-CN"/>
        </w:rPr>
        <w:t>100</w:t>
      </w:r>
      <w:r>
        <w:rPr>
          <w:rFonts w:hint="eastAsia"/>
          <w:color w:val="auto"/>
        </w:rPr>
        <w:t>%</w:t>
      </w:r>
      <w:r>
        <w:rPr>
          <w:rFonts w:hint="eastAsia"/>
          <w:color w:val="auto"/>
          <w:lang w:eastAsia="zh-CN"/>
        </w:rPr>
        <w:t>。</w:t>
      </w:r>
    </w:p>
    <w:p>
      <w:pPr>
        <w:spacing w:line="360" w:lineRule="auto"/>
        <w:ind w:firstLine="600" w:firstLineChars="200"/>
        <w:rPr>
          <w:color w:val="FF0000"/>
        </w:rPr>
      </w:pPr>
      <w:r>
        <w:rPr>
          <w:rFonts w:hint="eastAsia"/>
          <w:color w:val="auto"/>
        </w:rPr>
        <w:t>5</w:t>
      </w:r>
      <w:r>
        <w:rPr>
          <w:rFonts w:hint="eastAsia"/>
          <w:color w:val="auto"/>
          <w:lang w:val="en-US" w:eastAsia="zh-CN"/>
        </w:rPr>
        <w:t>.</w:t>
      </w:r>
      <w:r>
        <w:rPr>
          <w:rFonts w:hint="eastAsia"/>
          <w:color w:val="auto"/>
        </w:rPr>
        <w:t>满意度指标：指标1：招商企业满意度</w:t>
      </w:r>
      <w:r>
        <w:rPr>
          <w:rFonts w:hint="eastAsia"/>
          <w:color w:val="auto"/>
          <w:lang w:eastAsia="zh-CN"/>
        </w:rPr>
        <w:t>，指标值：</w:t>
      </w:r>
      <w:r>
        <w:rPr>
          <w:rFonts w:hint="eastAsia"/>
          <w:color w:val="auto"/>
          <w:lang w:val="en-US" w:eastAsia="zh-CN"/>
        </w:rPr>
        <w:t>≥95%，实际完成值100%，指标完成率105.26</w:t>
      </w:r>
      <w:r>
        <w:rPr>
          <w:rFonts w:hint="eastAsia"/>
          <w:color w:val="auto"/>
        </w:rPr>
        <w:t>%</w:t>
      </w:r>
      <w:r>
        <w:rPr>
          <w:rFonts w:hint="eastAsia"/>
          <w:color w:val="auto"/>
          <w:lang w:eastAsia="zh-CN"/>
        </w:rPr>
        <w:t>。</w:t>
      </w:r>
    </w:p>
    <w:p>
      <w:pPr>
        <w:pStyle w:val="2"/>
        <w:spacing w:line="360" w:lineRule="auto"/>
        <w:rPr>
          <w:rFonts w:ascii="宋体" w:hAnsi="宋体" w:eastAsia="宋体"/>
          <w:sz w:val="32"/>
          <w:szCs w:val="32"/>
        </w:rPr>
      </w:pPr>
      <w:bookmarkStart w:id="16" w:name="_Toc68703842"/>
      <w:r>
        <w:rPr>
          <w:rFonts w:hint="eastAsia" w:ascii="宋体" w:hAnsi="宋体" w:eastAsia="宋体"/>
          <w:sz w:val="32"/>
          <w:szCs w:val="32"/>
        </w:rPr>
        <w:t>五、主要经验及做法、存在的问题及原因分析</w:t>
      </w:r>
      <w:bookmarkEnd w:id="16"/>
    </w:p>
    <w:p>
      <w:pPr>
        <w:pStyle w:val="3"/>
        <w:spacing w:line="360" w:lineRule="auto"/>
        <w:rPr>
          <w:rFonts w:hint="eastAsia" w:ascii="仿宋_GB2312" w:eastAsia="仿宋_GB2312"/>
          <w:b w:val="0"/>
          <w:bCs w:val="0"/>
        </w:rPr>
      </w:pPr>
      <w:bookmarkStart w:id="17" w:name="_Toc68703843"/>
      <w:r>
        <w:rPr>
          <w:rFonts w:hint="eastAsia" w:ascii="仿宋_GB2312" w:eastAsia="仿宋_GB2312"/>
          <w:b w:val="0"/>
          <w:bCs w:val="0"/>
        </w:rPr>
        <w:t>（一）主要经验及做法</w:t>
      </w:r>
      <w:bookmarkEnd w:id="17"/>
    </w:p>
    <w:p>
      <w:pPr>
        <w:spacing w:line="360" w:lineRule="auto"/>
        <w:ind w:firstLine="600" w:firstLineChars="200"/>
        <w:rPr>
          <w:rFonts w:hint="eastAsia"/>
          <w:color w:val="auto"/>
        </w:rPr>
      </w:pPr>
      <w:r>
        <w:rPr>
          <w:rFonts w:hint="eastAsia"/>
          <w:color w:val="auto"/>
        </w:rPr>
        <w:t>严格按照相关规定及标准进行招商引资公务接待，外出招商期间，食、宿、出行严格按照相关规定及标准执行，赴异地举办招商引资推介会在会场、设备租赁时进行成本比较，选择会务服务时根据实际情况减少不必要开支。</w:t>
      </w:r>
    </w:p>
    <w:p>
      <w:pPr>
        <w:pStyle w:val="3"/>
        <w:spacing w:line="360" w:lineRule="auto"/>
        <w:rPr>
          <w:rFonts w:hint="eastAsia" w:ascii="仿宋_GB2312" w:eastAsia="仿宋_GB2312"/>
          <w:b w:val="0"/>
          <w:bCs w:val="0"/>
        </w:rPr>
      </w:pPr>
      <w:bookmarkStart w:id="18" w:name="_Toc68703844"/>
      <w:r>
        <w:rPr>
          <w:rFonts w:hint="eastAsia" w:ascii="仿宋_GB2312" w:eastAsia="仿宋_GB2312"/>
          <w:b w:val="0"/>
          <w:bCs w:val="0"/>
        </w:rPr>
        <w:t>（二）存在的问题及原因分析</w:t>
      </w:r>
      <w:bookmarkEnd w:id="18"/>
    </w:p>
    <w:p>
      <w:pPr>
        <w:spacing w:line="360" w:lineRule="auto"/>
        <w:ind w:firstLine="600" w:firstLineChars="200"/>
        <w:rPr>
          <w:rFonts w:hint="eastAsia"/>
          <w:color w:val="auto"/>
        </w:rPr>
      </w:pPr>
      <w:r>
        <w:rPr>
          <w:rFonts w:hint="eastAsia"/>
          <w:color w:val="auto"/>
        </w:rPr>
        <w:t>受各县区间同质化问题影响，洽谈项目虽多，落地项目较少。</w:t>
      </w:r>
    </w:p>
    <w:p>
      <w:pPr>
        <w:pStyle w:val="2"/>
        <w:numPr>
          <w:ilvl w:val="0"/>
          <w:numId w:val="1"/>
        </w:numPr>
        <w:spacing w:line="360" w:lineRule="auto"/>
        <w:rPr>
          <w:rFonts w:hint="eastAsia" w:ascii="宋体" w:hAnsi="宋体" w:eastAsia="宋体"/>
          <w:sz w:val="32"/>
          <w:szCs w:val="32"/>
        </w:rPr>
      </w:pPr>
      <w:bookmarkStart w:id="19" w:name="_Toc68703845"/>
      <w:r>
        <w:rPr>
          <w:rFonts w:hint="eastAsia" w:ascii="宋体" w:hAnsi="宋体" w:eastAsia="宋体"/>
          <w:sz w:val="32"/>
          <w:szCs w:val="32"/>
        </w:rPr>
        <w:t>有关建议</w:t>
      </w:r>
      <w:bookmarkEnd w:id="19"/>
    </w:p>
    <w:p>
      <w:pPr>
        <w:spacing w:line="360" w:lineRule="auto"/>
        <w:ind w:firstLine="600" w:firstLineChars="200"/>
        <w:outlineLvl w:val="9"/>
        <w:rPr>
          <w:rFonts w:hint="eastAsia" w:ascii="Times New Roman" w:hAnsi="Times New Roman" w:eastAsia="仿宋_GB2312" w:cs="Times New Roman"/>
          <w:b w:val="0"/>
          <w:bCs w:val="0"/>
          <w:color w:val="auto"/>
          <w:kern w:val="2"/>
          <w:sz w:val="30"/>
          <w:szCs w:val="24"/>
          <w:lang w:val="en-US" w:eastAsia="zh-CN" w:bidi="ar-SA"/>
        </w:rPr>
      </w:pPr>
      <w:bookmarkStart w:id="20" w:name="_Toc68703846"/>
      <w:r>
        <w:rPr>
          <w:rFonts w:hint="eastAsia" w:ascii="Times New Roman" w:hAnsi="Times New Roman" w:eastAsia="仿宋_GB2312" w:cs="Times New Roman"/>
          <w:b w:val="0"/>
          <w:bCs w:val="0"/>
          <w:color w:val="auto"/>
          <w:kern w:val="2"/>
          <w:sz w:val="30"/>
          <w:szCs w:val="24"/>
          <w:lang w:val="en-US" w:eastAsia="zh-CN" w:bidi="ar-SA"/>
        </w:rPr>
        <w:t>加大外出招商和精准招商力度，精准发力，避免不必要开支。充分发挥已与我区签订委托招商协议的单位、企业资源优势，拓展委托招商、中介招商途径，促进楼宇经济发展，推动以商招商。</w:t>
      </w:r>
      <w:bookmarkEnd w:id="20"/>
    </w:p>
    <w:p>
      <w:pPr>
        <w:spacing w:line="360" w:lineRule="auto"/>
        <w:ind w:firstLine="600" w:firstLineChars="200"/>
        <w:outlineLvl w:val="9"/>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增加预算单位预算执行主体意识，规范专项资金的使用，压缩“三公”经费支出，加大单位各项资金的管控力度，主管部门加强对下属部门的监管。</w:t>
      </w:r>
    </w:p>
    <w:p>
      <w:pPr>
        <w:spacing w:line="360" w:lineRule="auto"/>
        <w:ind w:firstLine="600" w:firstLineChars="200"/>
        <w:outlineLvl w:val="9"/>
        <w:rPr>
          <w:rFonts w:hint="eastAsia" w:ascii="Times New Roman" w:hAnsi="Times New Roman" w:eastAsia="仿宋_GB2312" w:cs="Times New Roman"/>
          <w:b w:val="0"/>
          <w:bCs w:val="0"/>
          <w:color w:val="auto"/>
          <w:kern w:val="2"/>
          <w:sz w:val="30"/>
          <w:szCs w:val="24"/>
          <w:lang w:val="en-US" w:eastAsia="zh-CN" w:bidi="ar-SA"/>
        </w:rPr>
      </w:pPr>
      <w:r>
        <w:rPr>
          <w:rFonts w:hint="eastAsia" w:ascii="Times New Roman" w:hAnsi="Times New Roman" w:eastAsia="仿宋_GB2312" w:cs="Times New Roman"/>
          <w:b w:val="0"/>
          <w:bCs w:val="0"/>
          <w:color w:val="auto"/>
          <w:kern w:val="2"/>
          <w:sz w:val="30"/>
          <w:szCs w:val="24"/>
          <w:lang w:val="en-US" w:eastAsia="zh-CN" w:bidi="ar-SA"/>
        </w:rPr>
        <w:t>研究国家产业和政策，市场运营情况，结合实际情况，建立在合法、公平、公正基础上，开展招商引资和向上资金争取工作。</w:t>
      </w:r>
    </w:p>
    <w:p/>
    <w:sectPr>
      <w:pgSz w:w="11906" w:h="16838"/>
      <w:pgMar w:top="1928" w:right="1531" w:bottom="1701" w:left="1531" w:header="737" w:footer="851" w:gutter="0"/>
      <w:cols w:space="720" w:num="1"/>
      <w:docGrid w:type="lines" w:linePitch="408"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DejaVu Sans">
    <w:panose1 w:val="020B0603030804020204"/>
    <w:charset w:val="00"/>
    <w:family w:val="auto"/>
    <w:pitch w:val="default"/>
    <w:sig w:usb0="E7006EFF" w:usb1="D200FDFF" w:usb2="0A246029" w:usb3="0400200C" w:csb0="600001FF" w:csb1="DFFF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仿宋_GB2312">
    <w:altName w:val="方正仿宋_GBK"/>
    <w:panose1 w:val="02010609030000010101"/>
    <w:charset w:val="86"/>
    <w:family w:val="modern"/>
    <w:pitch w:val="default"/>
    <w:sig w:usb0="00000000" w:usb1="00000000" w:usb2="00000000" w:usb3="00000000" w:csb0="00040000" w:csb1="00000000"/>
  </w:font>
  <w:font w:name="方正仿宋_GBK">
    <w:panose1 w:val="02000000000000000000"/>
    <w:charset w:val="86"/>
    <w:family w:val="auto"/>
    <w:pitch w:val="default"/>
    <w:sig w:usb0="00000001" w:usb1="08000000" w:usb2="00000000" w:usb3="00000000" w:csb0="00040000" w:csb1="00000000"/>
  </w:font>
  <w:font w:name="等线 Light">
    <w:altName w:val="华文中宋"/>
    <w:panose1 w:val="02010600030000010101"/>
    <w:charset w:val="86"/>
    <w:family w:val="auto"/>
    <w:pitch w:val="default"/>
    <w:sig w:usb0="00000000" w:usb1="00000000" w:usb2="00000016" w:usb3="00000000" w:csb0="0004000F" w:csb1="00000000"/>
  </w:font>
  <w:font w:name="华文中宋">
    <w:panose1 w:val="02010600040101010101"/>
    <w:charset w:val="86"/>
    <w:family w:val="auto"/>
    <w:pitch w:val="default"/>
    <w:sig w:usb0="00000287" w:usb1="080F0000" w:usb2="00000000" w:usb3="00000000" w:csb0="0004009F" w:csb1="DFD70000"/>
  </w:font>
  <w:font w:name="等线">
    <w:altName w:val="华文中宋"/>
    <w:panose1 w:val="02010600030000010101"/>
    <w:charset w:val="86"/>
    <w:family w:val="auto"/>
    <w:pitch w:val="default"/>
    <w:sig w:usb0="00000000" w:usb1="00000000" w:usb2="00000016" w:usb3="00000000" w:csb0="0004000F" w:csb1="00000000"/>
  </w:font>
  <w:font w:name="红豆小标宋简体">
    <w:altName w:val="方正小标宋简体"/>
    <w:panose1 w:val="02000509000000000000"/>
    <w:charset w:val="86"/>
    <w:family w:val="auto"/>
    <w:pitch w:val="default"/>
    <w:sig w:usb0="00000000" w:usb1="00000000" w:usb2="00000012" w:usb3="00000000" w:csb0="00040001" w:csb1="00000000"/>
  </w:font>
  <w:font w:name="方正小标宋简体">
    <w:panose1 w:val="02000000000000000000"/>
    <w:charset w:val="86"/>
    <w:family w:val="auto"/>
    <w:pitch w:val="default"/>
    <w:sig w:usb0="A00002BF" w:usb1="184F6CFA" w:usb2="00000012" w:usb3="00000000" w:csb0="00040001" w:csb1="00000000"/>
  </w:font>
  <w:font w:name="方正黑体_GBK">
    <w:panose1 w:val="02000000000000000000"/>
    <w:charset w:val="86"/>
    <w:family w:val="auto"/>
    <w:pitch w:val="default"/>
    <w:sig w:usb0="00000001" w:usb1="08000000" w:usb2="00000000" w:usb3="00000000" w:csb0="0004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0"/>
    <w:multiLevelType w:val="singleLevel"/>
    <w:tmpl w:val="00000000"/>
    <w:lvl w:ilvl="0" w:tentative="0">
      <w:start w:val="6"/>
      <w:numFmt w:val="chineseCounting"/>
      <w:suff w:val="nothing"/>
      <w:lvlText w:val="%1、"/>
      <w:lvlJc w:val="left"/>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E747AC4"/>
    <w:rsid w:val="453F6B26"/>
    <w:rsid w:val="7DBFC8FF"/>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9"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qFormat="1" w:unhideWhenUsed="0" w:uiPriority="39"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99"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2">
    <w:name w:val="heading 1"/>
    <w:basedOn w:val="1"/>
    <w:next w:val="1"/>
    <w:link w:val="11"/>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2"/>
    <w:qFormat/>
    <w:uiPriority w:val="9"/>
    <w:pPr>
      <w:keepNext/>
      <w:keepLines/>
      <w:spacing w:before="260" w:after="260" w:line="416" w:lineRule="auto"/>
      <w:outlineLvl w:val="1"/>
    </w:pPr>
    <w:rPr>
      <w:rFonts w:ascii="等线 Light" w:hAnsi="等线 Light" w:eastAsia="等线 Light" w:cs="宋体"/>
      <w:b/>
      <w:bCs/>
      <w:sz w:val="32"/>
      <w:szCs w:val="32"/>
    </w:rPr>
  </w:style>
  <w:style w:type="character" w:default="1" w:styleId="9">
    <w:name w:val="Default Paragraph Font"/>
    <w:qFormat/>
    <w:uiPriority w:val="1"/>
  </w:style>
  <w:style w:type="table" w:default="1" w:styleId="8">
    <w:name w:val="Normal Table"/>
    <w:qFormat/>
    <w:uiPriority w:val="99"/>
    <w:tblPr>
      <w:tblCellMar>
        <w:top w:w="0" w:type="dxa"/>
        <w:left w:w="108" w:type="dxa"/>
        <w:bottom w:w="0" w:type="dxa"/>
        <w:right w:w="108" w:type="dxa"/>
      </w:tblCellMar>
    </w:tblPr>
  </w:style>
  <w:style w:type="paragraph" w:styleId="4">
    <w:name w:val="footer"/>
    <w:basedOn w:val="1"/>
    <w:link w:val="15"/>
    <w:qFormat/>
    <w:uiPriority w:val="99"/>
    <w:pPr>
      <w:tabs>
        <w:tab w:val="center" w:pos="4153"/>
        <w:tab w:val="right" w:pos="8306"/>
      </w:tabs>
      <w:snapToGrid w:val="0"/>
      <w:jc w:val="left"/>
    </w:pPr>
    <w:rPr>
      <w:sz w:val="18"/>
      <w:szCs w:val="18"/>
    </w:rPr>
  </w:style>
  <w:style w:type="paragraph" w:styleId="5">
    <w:name w:val="header"/>
    <w:basedOn w:val="1"/>
    <w:link w:val="14"/>
    <w:qFormat/>
    <w:uiPriority w:val="99"/>
    <w:pPr>
      <w:pBdr>
        <w:bottom w:val="single" w:color="auto" w:sz="6" w:space="1"/>
      </w:pBdr>
      <w:tabs>
        <w:tab w:val="center" w:pos="4153"/>
        <w:tab w:val="right" w:pos="8306"/>
      </w:tabs>
      <w:snapToGrid w:val="0"/>
      <w:jc w:val="center"/>
    </w:pPr>
    <w:rPr>
      <w:sz w:val="18"/>
      <w:szCs w:val="18"/>
    </w:rPr>
  </w:style>
  <w:style w:type="paragraph" w:styleId="6">
    <w:name w:val="toc 1"/>
    <w:basedOn w:val="1"/>
    <w:next w:val="1"/>
    <w:qFormat/>
    <w:uiPriority w:val="39"/>
    <w:pPr>
      <w:widowControl/>
      <w:spacing w:after="100" w:line="259" w:lineRule="auto"/>
      <w:jc w:val="left"/>
    </w:pPr>
    <w:rPr>
      <w:rFonts w:ascii="等线" w:hAnsi="等线" w:eastAsia="等线"/>
      <w:kern w:val="0"/>
      <w:sz w:val="22"/>
      <w:szCs w:val="22"/>
    </w:rPr>
  </w:style>
  <w:style w:type="paragraph" w:styleId="7">
    <w:name w:val="toc 2"/>
    <w:basedOn w:val="1"/>
    <w:next w:val="1"/>
    <w:qFormat/>
    <w:uiPriority w:val="39"/>
    <w:pPr>
      <w:widowControl/>
      <w:spacing w:after="100" w:line="259" w:lineRule="auto"/>
      <w:ind w:left="220"/>
      <w:jc w:val="left"/>
    </w:pPr>
    <w:rPr>
      <w:rFonts w:ascii="等线" w:hAnsi="等线" w:eastAsia="等线"/>
      <w:kern w:val="0"/>
      <w:sz w:val="22"/>
      <w:szCs w:val="22"/>
    </w:rPr>
  </w:style>
  <w:style w:type="character" w:styleId="10">
    <w:name w:val="Hyperlink"/>
    <w:basedOn w:val="9"/>
    <w:qFormat/>
    <w:uiPriority w:val="99"/>
    <w:rPr>
      <w:color w:val="0563C1"/>
      <w:u w:val="single"/>
    </w:rPr>
  </w:style>
  <w:style w:type="character" w:customStyle="1" w:styleId="11">
    <w:name w:val="标题 1 Char"/>
    <w:basedOn w:val="9"/>
    <w:link w:val="2"/>
    <w:qFormat/>
    <w:uiPriority w:val="9"/>
    <w:rPr>
      <w:rFonts w:ascii="Times New Roman" w:hAnsi="Times New Roman" w:eastAsia="仿宋_GB2312" w:cs="Times New Roman"/>
      <w:b/>
      <w:bCs/>
      <w:kern w:val="44"/>
      <w:sz w:val="44"/>
      <w:szCs w:val="44"/>
    </w:rPr>
  </w:style>
  <w:style w:type="character" w:customStyle="1" w:styleId="12">
    <w:name w:val="标题 2 Char"/>
    <w:basedOn w:val="9"/>
    <w:link w:val="3"/>
    <w:qFormat/>
    <w:uiPriority w:val="9"/>
    <w:rPr>
      <w:rFonts w:ascii="等线 Light" w:hAnsi="等线 Light" w:eastAsia="等线 Light" w:cs="宋体"/>
      <w:b/>
      <w:bCs/>
      <w:sz w:val="32"/>
      <w:szCs w:val="32"/>
    </w:rPr>
  </w:style>
  <w:style w:type="paragraph" w:customStyle="1" w:styleId="13">
    <w:name w:val="TOC Heading_825bc71e-dcd0-47f7-a3f5-38e908316809"/>
    <w:basedOn w:val="2"/>
    <w:next w:val="1"/>
    <w:qFormat/>
    <w:uiPriority w:val="39"/>
    <w:pPr>
      <w:widowControl/>
      <w:spacing w:before="240" w:after="0" w:line="259" w:lineRule="auto"/>
      <w:jc w:val="left"/>
      <w:outlineLvl w:val="9"/>
    </w:pPr>
    <w:rPr>
      <w:rFonts w:ascii="等线 Light" w:hAnsi="等线 Light" w:eastAsia="等线 Light" w:cs="宋体"/>
      <w:b w:val="0"/>
      <w:bCs w:val="0"/>
      <w:color w:val="2F5597"/>
      <w:kern w:val="0"/>
      <w:sz w:val="32"/>
      <w:szCs w:val="32"/>
    </w:rPr>
  </w:style>
  <w:style w:type="character" w:customStyle="1" w:styleId="14">
    <w:name w:val="页眉 Char"/>
    <w:basedOn w:val="9"/>
    <w:link w:val="5"/>
    <w:qFormat/>
    <w:uiPriority w:val="99"/>
    <w:rPr>
      <w:rFonts w:ascii="Times New Roman" w:hAnsi="Times New Roman" w:eastAsia="仿宋_GB2312" w:cs="Times New Roman"/>
      <w:sz w:val="18"/>
      <w:szCs w:val="18"/>
    </w:rPr>
  </w:style>
  <w:style w:type="character" w:customStyle="1" w:styleId="15">
    <w:name w:val="页脚 Char"/>
    <w:basedOn w:val="9"/>
    <w:link w:val="4"/>
    <w:qFormat/>
    <w:uiPriority w:val="99"/>
    <w:rPr>
      <w:rFonts w:ascii="Times New Roman" w:hAnsi="Times New Roman" w:eastAsia="仿宋_GB2312" w:cs="Times New Roman"/>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13</Pages>
  <Words>4921</Words>
  <Characters>5174</Characters>
  <Paragraphs>280</Paragraphs>
  <TotalTime>14</TotalTime>
  <ScaleCrop>false</ScaleCrop>
  <LinksUpToDate>false</LinksUpToDate>
  <CharactersWithSpaces>5183</CharactersWithSpaces>
  <Application>WPS Office_11.8.2.11958_F1E327BC-269C-435d-A152-05C5408002CA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2021-04-07T16:01:00Z</dcterms:created>
  <dc:creator>翘楚</dc:creator>
  <cp:lastModifiedBy>user</cp:lastModifiedBy>
  <dcterms:modified xsi:type="dcterms:W3CDTF">2025-03-04T10:41:25Z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2052-11.8.2.11958</vt:lpwstr>
  </property>
  <property fmtid="{D5CDD505-2E9C-101B-9397-08002B2CF9AE}" pid="3" name="ICV">
    <vt:lpwstr>DE1F5F98A24F4DFA84228DBA1209C717</vt:lpwstr>
  </property>
</Properties>
</file>