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Arial"/>
          <w:b/>
          <w:bCs/>
          <w:sz w:val="52"/>
          <w:szCs w:val="52"/>
          <w:lang w:eastAsia="zh-CN"/>
        </w:rPr>
      </w:pPr>
      <w:r>
        <w:rPr>
          <w:rFonts w:hint="eastAsia" w:ascii="宋体" w:hAnsi="宋体" w:eastAsia="宋体" w:cs="Arial"/>
          <w:b/>
          <w:bCs/>
          <w:sz w:val="48"/>
          <w:szCs w:val="48"/>
          <w:lang w:eastAsia="zh-CN"/>
        </w:rPr>
        <w:t>霍城县农业农村局中央转移支付农业生产发展资金（农机购置与应用补贴）</w:t>
      </w:r>
      <w:r>
        <w:rPr>
          <w:rFonts w:hint="eastAsia" w:ascii="宋体" w:hAnsi="宋体" w:eastAsia="宋体" w:cs="Arial"/>
          <w:b/>
          <w:bCs/>
          <w:sz w:val="52"/>
          <w:szCs w:val="52"/>
          <w:lang w:eastAsia="zh-CN"/>
        </w:rPr>
        <w:t>项目</w:t>
      </w:r>
    </w:p>
    <w:p>
      <w:pPr>
        <w:ind w:firstLine="2610" w:firstLineChars="500"/>
        <w:jc w:val="both"/>
        <w:rPr>
          <w:rFonts w:ascii="宋体" w:hAnsi="宋体" w:eastAsia="宋体" w:cs="Arial"/>
          <w:b/>
          <w:bCs/>
          <w:sz w:val="52"/>
          <w:szCs w:val="52"/>
        </w:rPr>
      </w:pPr>
      <w:r>
        <w:rPr>
          <w:rFonts w:hint="eastAsia" w:ascii="宋体" w:hAnsi="宋体" w:eastAsia="宋体" w:cs="Arial"/>
          <w:b/>
          <w:bCs/>
          <w:sz w:val="52"/>
          <w:szCs w:val="52"/>
        </w:rPr>
        <w:t>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农机购置补贴与应用补贴</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实施单位（公章）：</w:t>
      </w:r>
      <w:bookmarkStart w:id="21" w:name="_GoBack"/>
      <w:r>
        <w:rPr>
          <w:rFonts w:hint="eastAsia" w:ascii="宋体" w:hAnsi="宋体" w:eastAsia="宋体" w:cs="仿宋_GB2312"/>
          <w:b/>
          <w:bCs/>
          <w:color w:val="000000"/>
          <w:kern w:val="0"/>
          <w:sz w:val="32"/>
          <w:szCs w:val="32"/>
          <w:lang w:eastAsia="zh-CN"/>
        </w:rPr>
        <w:t>霍城县农业农村局农机科</w:t>
      </w:r>
    </w:p>
    <w:bookmarkEnd w:id="21"/>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霍城县农业农村局</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郭春亮</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填报时间：202</w:t>
      </w:r>
      <w:r>
        <w:rPr>
          <w:rFonts w:hint="eastAsia" w:ascii="宋体" w:hAnsi="宋体" w:eastAsia="宋体" w:cs="仿宋_GB2312"/>
          <w:b/>
          <w:bCs/>
          <w:color w:val="000000"/>
          <w:kern w:val="0"/>
          <w:sz w:val="32"/>
          <w:szCs w:val="32"/>
          <w:lang w:val="en-US" w:eastAsia="zh-CN"/>
        </w:rPr>
        <w:t>3</w:t>
      </w:r>
      <w:r>
        <w:rPr>
          <w:rFonts w:hint="eastAsia" w:ascii="宋体" w:hAnsi="宋体" w:eastAsia="宋体" w:cs="仿宋_GB2312"/>
          <w:b/>
          <w:bCs/>
          <w:color w:val="000000"/>
          <w:kern w:val="0"/>
          <w:sz w:val="32"/>
          <w:szCs w:val="32"/>
        </w:rPr>
        <w:t xml:space="preserve">年  </w:t>
      </w:r>
      <w:r>
        <w:rPr>
          <w:rFonts w:hint="eastAsia" w:ascii="宋体" w:hAnsi="宋体" w:eastAsia="宋体" w:cs="仿宋_GB2312"/>
          <w:b/>
          <w:bCs/>
          <w:color w:val="000000"/>
          <w:kern w:val="0"/>
          <w:sz w:val="32"/>
          <w:szCs w:val="32"/>
          <w:lang w:val="en-US" w:eastAsia="zh-CN"/>
        </w:rPr>
        <w:t>3</w:t>
      </w:r>
      <w:r>
        <w:rPr>
          <w:rFonts w:hint="eastAsia" w:ascii="宋体" w:hAnsi="宋体" w:eastAsia="宋体" w:cs="仿宋_GB2312"/>
          <w:b/>
          <w:bCs/>
          <w:color w:val="000000"/>
          <w:kern w:val="0"/>
          <w:sz w:val="32"/>
          <w:szCs w:val="32"/>
        </w:rPr>
        <w:t xml:space="preserve"> 月 </w:t>
      </w:r>
      <w:r>
        <w:rPr>
          <w:rFonts w:hint="eastAsia" w:ascii="宋体" w:hAnsi="宋体" w:eastAsia="宋体" w:cs="仿宋_GB2312"/>
          <w:b/>
          <w:bCs/>
          <w:color w:val="000000"/>
          <w:kern w:val="0"/>
          <w:sz w:val="32"/>
          <w:szCs w:val="32"/>
          <w:lang w:val="en-US" w:eastAsia="zh-CN"/>
        </w:rPr>
        <w:t>20</w:t>
      </w:r>
      <w:r>
        <w:rPr>
          <w:rFonts w:hint="eastAsia" w:ascii="宋体" w:hAnsi="宋体" w:eastAsia="宋体" w:cs="仿宋_GB2312"/>
          <w:b/>
          <w:bCs/>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hint="eastAsia" w:ascii="宋体" w:hAnsi="宋体" w:eastAsia="宋体" w:cs="Arial"/>
          <w:b/>
          <w:bCs/>
          <w:sz w:val="30"/>
          <w:szCs w:val="30"/>
          <w:lang w:eastAsia="zh-CN"/>
        </w:rPr>
      </w:pPr>
      <w:r>
        <w:rPr>
          <w:rFonts w:hint="eastAsia" w:ascii="宋体" w:hAnsi="宋体" w:eastAsia="宋体" w:cs="仿宋_GB2312"/>
          <w:b/>
          <w:bCs/>
          <w:color w:val="000000"/>
          <w:kern w:val="0"/>
          <w:sz w:val="32"/>
          <w:szCs w:val="32"/>
          <w:lang w:eastAsia="zh-CN"/>
        </w:rPr>
        <w:t>霍城县农业农村局</w:t>
      </w:r>
      <w:r>
        <w:rPr>
          <w:rFonts w:hint="eastAsia" w:ascii="宋体" w:hAnsi="宋体" w:eastAsia="宋体" w:cs="Arial"/>
          <w:b/>
          <w:bCs/>
          <w:sz w:val="30"/>
          <w:szCs w:val="30"/>
          <w:lang w:eastAsia="zh-CN"/>
        </w:rPr>
        <w:t>农业生产发展资金（农机购置与应用补贴）</w:t>
      </w:r>
    </w:p>
    <w:p>
      <w:pPr>
        <w:ind w:firstLine="2570" w:firstLineChars="800"/>
        <w:jc w:val="both"/>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lang w:eastAsia="zh-CN"/>
        </w:rPr>
        <w:t>项目支出绩效评价报告</w:t>
      </w:r>
    </w:p>
    <w:p>
      <w:pPr>
        <w:jc w:val="center"/>
        <w:rPr>
          <w:rFonts w:ascii="仿宋_GB2312"/>
          <w:szCs w:val="30"/>
        </w:rPr>
      </w:pPr>
    </w:p>
    <w:p>
      <w:pPr>
        <w:numPr>
          <w:ilvl w:val="0"/>
          <w:numId w:val="1"/>
        </w:numPr>
        <w:spacing w:line="480" w:lineRule="auto"/>
        <w:ind w:firstLine="602" w:firstLineChars="200"/>
        <w:rPr>
          <w:rFonts w:hint="eastAsia" w:ascii="仿宋" w:hAnsi="仿宋" w:eastAsia="仿宋" w:cs="仿宋"/>
          <w:b/>
          <w:bCs/>
          <w:sz w:val="30"/>
          <w:szCs w:val="30"/>
        </w:rPr>
      </w:pPr>
      <w:bookmarkStart w:id="0" w:name="_Toc68703827"/>
      <w:r>
        <w:rPr>
          <w:rFonts w:hint="eastAsia" w:ascii="仿宋" w:hAnsi="仿宋" w:eastAsia="仿宋" w:cs="仿宋"/>
          <w:b/>
          <w:bCs/>
          <w:sz w:val="30"/>
          <w:szCs w:val="30"/>
        </w:rPr>
        <w:t>基本情况</w:t>
      </w:r>
      <w:bookmarkEnd w:id="0"/>
      <w:bookmarkStart w:id="1" w:name="_Toc68703828"/>
    </w:p>
    <w:p>
      <w:pPr>
        <w:numPr>
          <w:ilvl w:val="0"/>
          <w:numId w:val="0"/>
        </w:numPr>
        <w:spacing w:line="480" w:lineRule="auto"/>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rPr>
        <w:t>（一）项目概况。</w:t>
      </w:r>
      <w:bookmarkEnd w:id="1"/>
    </w:p>
    <w:p>
      <w:pPr>
        <w:spacing w:line="360" w:lineRule="auto"/>
        <w:ind w:firstLine="602" w:firstLineChars="200"/>
        <w:rPr>
          <w:rFonts w:hint="eastAsia" w:ascii="仿宋" w:hAnsi="仿宋" w:eastAsia="仿宋" w:cs="仿宋"/>
          <w:b/>
          <w:bCs/>
          <w:color w:val="000000"/>
          <w:kern w:val="0"/>
          <w:sz w:val="30"/>
          <w:szCs w:val="30"/>
          <w:lang w:val="en-US" w:eastAsia="zh-CN" w:bidi="ar-SA"/>
        </w:rPr>
      </w:pPr>
      <w:r>
        <w:rPr>
          <w:rFonts w:hint="eastAsia" w:ascii="仿宋" w:hAnsi="仿宋" w:eastAsia="仿宋" w:cs="仿宋"/>
          <w:b/>
          <w:bCs/>
          <w:color w:val="000000"/>
          <w:kern w:val="0"/>
          <w:sz w:val="30"/>
          <w:szCs w:val="30"/>
          <w:lang w:val="en-US" w:eastAsia="zh-CN" w:bidi="ar-SA"/>
        </w:rPr>
        <w:t>1.项目背景</w:t>
      </w:r>
    </w:p>
    <w:p>
      <w:pPr>
        <w:pStyle w:val="10"/>
        <w:widowControl w:val="0"/>
        <w:snapToGrid w:val="0"/>
        <w:spacing w:before="0" w:beforeAutospacing="0" w:after="0" w:afterAutospacing="0" w:line="560" w:lineRule="exact"/>
        <w:ind w:firstLine="640" w:firstLineChars="200"/>
        <w:jc w:val="both"/>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农机购置补贴是国家惠农政策的一个主要组成部分，通过购机补贴政策落实充分发挥政策效益，推动农业机械化向全程全面高质高效转型升级，助力全面推进乡村振兴和加快农业农村现代化，根据自治区农业农村厅、财政厅《新疆维吾尔自治区2021-2023年农业机械购置补贴实施方案》（新农机〔2021〕94号）以及《伊犁州2021-2023年农业机械购置补贴实施方案》精神，霍城县农业农村局加强监管，主要领导总体抓、分管领导具体抓、业务科室落实监管的办法进行全面实施。</w:t>
      </w:r>
    </w:p>
    <w:p>
      <w:pPr>
        <w:spacing w:line="360" w:lineRule="auto"/>
        <w:ind w:firstLine="602" w:firstLineChars="200"/>
        <w:rPr>
          <w:rFonts w:hint="eastAsia" w:ascii="仿宋" w:hAnsi="仿宋" w:eastAsia="仿宋" w:cs="仿宋"/>
          <w:b/>
          <w:bCs/>
          <w:color w:val="000000"/>
          <w:kern w:val="0"/>
          <w:sz w:val="30"/>
          <w:szCs w:val="30"/>
          <w:lang w:val="en-US" w:eastAsia="zh-CN" w:bidi="ar-SA"/>
        </w:rPr>
      </w:pPr>
      <w:r>
        <w:rPr>
          <w:rFonts w:hint="eastAsia" w:ascii="仿宋" w:hAnsi="仿宋" w:eastAsia="仿宋" w:cs="仿宋"/>
          <w:b/>
          <w:bCs/>
          <w:color w:val="000000"/>
          <w:kern w:val="0"/>
          <w:sz w:val="30"/>
          <w:szCs w:val="30"/>
          <w:lang w:val="en-US" w:eastAsia="zh-CN" w:bidi="ar-SA"/>
        </w:rPr>
        <w:t>2.主要内容及实施情况</w:t>
      </w:r>
    </w:p>
    <w:p>
      <w:pPr>
        <w:pStyle w:val="10"/>
        <w:widowControl w:val="0"/>
        <w:snapToGrid w:val="0"/>
        <w:spacing w:before="0" w:beforeAutospacing="0" w:after="0" w:afterAutospacing="0" w:line="560" w:lineRule="exact"/>
        <w:ind w:firstLine="602" w:firstLineChars="200"/>
        <w:jc w:val="both"/>
        <w:rPr>
          <w:rFonts w:hint="eastAsia" w:ascii="仿宋" w:hAnsi="仿宋" w:eastAsia="仿宋" w:cs="仿宋"/>
          <w:color w:val="000000"/>
          <w:kern w:val="0"/>
          <w:sz w:val="30"/>
          <w:szCs w:val="30"/>
          <w:lang w:val="en-US" w:eastAsia="zh-CN" w:bidi="ar-SA"/>
        </w:rPr>
      </w:pPr>
      <w:r>
        <w:rPr>
          <w:rFonts w:hint="eastAsia" w:ascii="仿宋" w:hAnsi="仿宋" w:eastAsia="仿宋" w:cs="仿宋"/>
          <w:b/>
          <w:bCs/>
          <w:color w:val="000000"/>
          <w:kern w:val="0"/>
          <w:sz w:val="30"/>
          <w:szCs w:val="30"/>
          <w:lang w:val="en-US" w:eastAsia="zh-CN" w:bidi="ar-SA"/>
        </w:rPr>
        <w:t>主要内容：</w:t>
      </w:r>
      <w:r>
        <w:rPr>
          <w:rFonts w:hint="eastAsia" w:ascii="仿宋_GB2312" w:hAnsi="Times New Roman" w:eastAsia="仿宋_GB2312" w:cs="Times New Roman"/>
          <w:bCs/>
          <w:color w:val="auto"/>
          <w:kern w:val="2"/>
          <w:sz w:val="32"/>
          <w:szCs w:val="32"/>
          <w:lang w:val="en-US" w:eastAsia="zh-CN" w:bidi="ar-SA"/>
        </w:rPr>
        <w:t>根据自治区农业农村厅、财政厅《新疆维吾尔自治区2021-2023年农业机械购置补贴实施方案》（新农机〔2021〕94号）以及《伊犁州2021-2023年农业机械购置补贴实施方案》要求，以满足广大农民对机械化生产的需要为目标，以稳定实施政策、最大限度发挥政策效益为主线，落实构建新发展格局要求，畅通农业机械化发展各个环节，支持引导农民购置使用先进适用的农业机械，围绕实施乡村振兴战略，绿色发展要求，推进我县农业机械化全程全面高质高效发展，2022年伊犁州农业农村局下拨霍城县中央财政农机购置补贴资金1229万元，用于农机具购置补贴。</w:t>
      </w:r>
    </w:p>
    <w:p>
      <w:pPr>
        <w:spacing w:line="360" w:lineRule="auto"/>
        <w:ind w:firstLine="602" w:firstLineChars="200"/>
        <w:rPr>
          <w:rFonts w:hint="eastAsia" w:ascii="仿宋_GB2312" w:hAnsi="Times New Roman" w:eastAsia="仿宋_GB2312" w:cs="Times New Roman"/>
          <w:bCs/>
          <w:color w:val="auto"/>
          <w:kern w:val="2"/>
          <w:sz w:val="32"/>
          <w:szCs w:val="32"/>
          <w:lang w:val="en-US" w:eastAsia="zh-CN" w:bidi="ar-SA"/>
        </w:rPr>
      </w:pPr>
      <w:r>
        <w:rPr>
          <w:rFonts w:hint="eastAsia" w:ascii="仿宋" w:hAnsi="仿宋" w:eastAsia="仿宋" w:cs="仿宋"/>
          <w:b/>
          <w:bCs/>
          <w:color w:val="000000"/>
          <w:kern w:val="0"/>
          <w:sz w:val="30"/>
          <w:szCs w:val="30"/>
          <w:lang w:val="en-US" w:eastAsia="zh-CN" w:bidi="ar-SA"/>
        </w:rPr>
        <w:t>实施情况：</w:t>
      </w:r>
      <w:r>
        <w:rPr>
          <w:rFonts w:hint="eastAsia" w:ascii="仿宋_GB2312" w:hAnsi="Times New Roman" w:eastAsia="仿宋_GB2312" w:cs="Times New Roman"/>
          <w:bCs/>
          <w:color w:val="auto"/>
          <w:kern w:val="2"/>
          <w:sz w:val="32"/>
          <w:szCs w:val="32"/>
          <w:lang w:val="en-US" w:eastAsia="zh-CN" w:bidi="ar-SA"/>
        </w:rPr>
        <w:t>关于提前下达2022年中央农业生产发展资金（农机购置补贴）预算的通知伊州财农【2021】89号和伊州财农【2022】28号文下达的1229万元资金，我局严格按照农机购置补贴实施操作流程把中央补贴资金安全有效的实施完毕认真把关审核和监管各乡镇补贴申请受理，机具核验，资金兑付率达到100%</w:t>
      </w:r>
      <w:r>
        <w:rPr>
          <w:rFonts w:hint="eastAsia" w:ascii="仿宋_GB2312" w:cs="Times New Roman"/>
          <w:bCs/>
          <w:color w:val="auto"/>
          <w:kern w:val="2"/>
          <w:sz w:val="32"/>
          <w:szCs w:val="32"/>
          <w:lang w:val="en-US" w:eastAsia="zh-CN" w:bidi="ar-SA"/>
        </w:rPr>
        <w:t>。</w:t>
      </w:r>
    </w:p>
    <w:p>
      <w:pPr>
        <w:spacing w:line="360" w:lineRule="auto"/>
        <w:ind w:firstLine="602" w:firstLineChars="200"/>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3</w:t>
      </w:r>
      <w:r>
        <w:rPr>
          <w:rFonts w:hint="eastAsia" w:ascii="宋体" w:hAnsi="宋体" w:eastAsia="宋体" w:cs="宋体"/>
          <w:b/>
          <w:bCs/>
          <w:color w:val="000000" w:themeColor="text1"/>
          <w:sz w:val="30"/>
          <w:szCs w:val="30"/>
          <w:lang w:val="en-US" w:eastAsia="zh-CN"/>
          <w14:textFill>
            <w14:solidFill>
              <w14:schemeClr w14:val="tx1"/>
            </w14:solidFill>
          </w14:textFill>
        </w:rPr>
        <w:t>.</w:t>
      </w:r>
      <w:r>
        <w:rPr>
          <w:rFonts w:hint="eastAsia" w:ascii="宋体" w:hAnsi="宋体" w:eastAsia="宋体" w:cs="宋体"/>
          <w:b/>
          <w:bCs/>
          <w:color w:val="000000" w:themeColor="text1"/>
          <w:sz w:val="30"/>
          <w:szCs w:val="30"/>
          <w14:textFill>
            <w14:solidFill>
              <w14:schemeClr w14:val="tx1"/>
            </w14:solidFill>
          </w14:textFill>
        </w:rPr>
        <w:t>资金投入和使用情况</w:t>
      </w:r>
    </w:p>
    <w:p>
      <w:p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资金投入情况：该项目年初预算数1229万元，全年预算数1229万元。实际总投入1229万元，该项目资金已全部落实到位（或该项目资金落实到位1229万元），资金来源为关于提前下达2022年中央农业生产发展资金（农机购置补贴）预算的通知伊州财农【2021】89号和伊州财农【2022】28号文下达的1229万元资金。</w:t>
      </w:r>
    </w:p>
    <w:p>
      <w:pPr>
        <w:spacing w:line="360" w:lineRule="auto"/>
        <w:ind w:firstLine="640" w:firstLineChars="200"/>
        <w:rPr>
          <w:rFonts w:hint="eastAsia" w:ascii="宋体" w:hAnsi="宋体" w:eastAsia="宋体" w:cs="宋体"/>
          <w:color w:val="FF0000"/>
          <w:sz w:val="30"/>
          <w:szCs w:val="30"/>
        </w:rPr>
      </w:pPr>
      <w:r>
        <w:rPr>
          <w:rFonts w:hint="eastAsia" w:ascii="仿宋_GB2312" w:hAnsi="Times New Roman" w:eastAsia="仿宋_GB2312" w:cs="Times New Roman"/>
          <w:bCs/>
          <w:color w:val="auto"/>
          <w:kern w:val="2"/>
          <w:sz w:val="32"/>
          <w:szCs w:val="32"/>
          <w:lang w:val="en-US" w:eastAsia="zh-CN" w:bidi="ar-SA"/>
        </w:rPr>
        <w:t>资金使用情况：该项目年初预算数1229万元，全年预算数1229万元。全年执行数1229万元，预算执行率为100%，用于：我局严格按照农机购置补贴实施操作流程把中央补贴资金安全有效的实施完毕，认真把关审核和监管各乡镇补贴申请受理，机具核验，资金兑付率达到100%，该资金专款专用，没有出现重大违纪违规问题。</w:t>
      </w:r>
    </w:p>
    <w:p>
      <w:pPr>
        <w:pStyle w:val="10"/>
        <w:widowControl w:val="0"/>
        <w:numPr>
          <w:ilvl w:val="0"/>
          <w:numId w:val="2"/>
        </w:numPr>
        <w:snapToGrid w:val="0"/>
        <w:spacing w:before="0" w:beforeAutospacing="0" w:after="0" w:afterAutospacing="0" w:line="560" w:lineRule="exact"/>
        <w:jc w:val="both"/>
        <w:rPr>
          <w:rFonts w:hint="eastAsia" w:ascii="宋体" w:hAnsi="宋体" w:eastAsia="宋体" w:cs="宋体"/>
          <w:b/>
          <w:bCs/>
          <w:sz w:val="30"/>
          <w:szCs w:val="30"/>
        </w:rPr>
      </w:pPr>
      <w:bookmarkStart w:id="2" w:name="_Toc68703829"/>
      <w:r>
        <w:rPr>
          <w:rFonts w:hint="eastAsia" w:ascii="宋体" w:hAnsi="宋体" w:eastAsia="宋体" w:cs="宋体"/>
          <w:b/>
          <w:bCs/>
          <w:sz w:val="30"/>
          <w:szCs w:val="30"/>
        </w:rPr>
        <w:t>项目绩效目标。</w:t>
      </w:r>
      <w:bookmarkEnd w:id="2"/>
    </w:p>
    <w:p>
      <w:pPr>
        <w:pStyle w:val="10"/>
        <w:widowControl w:val="0"/>
        <w:numPr>
          <w:ilvl w:val="0"/>
          <w:numId w:val="0"/>
        </w:numPr>
        <w:snapToGrid w:val="0"/>
        <w:spacing w:before="0" w:beforeAutospacing="0" w:after="0" w:afterAutospacing="0" w:line="560" w:lineRule="exact"/>
        <w:ind w:firstLine="602" w:firstLineChars="200"/>
        <w:jc w:val="both"/>
        <w:rPr>
          <w:rFonts w:hint="eastAsia" w:ascii="仿宋_GB2312" w:hAnsi="Times New Roman" w:eastAsia="宋体" w:cs="Times New Roman"/>
          <w:bCs/>
          <w:color w:val="0D0D0D" w:themeColor="text1" w:themeTint="F2"/>
          <w:kern w:val="2"/>
          <w:sz w:val="32"/>
          <w:szCs w:val="32"/>
          <w:highlight w:val="none"/>
          <w:lang w:val="en-US" w:eastAsia="zh-CN" w:bidi="ar-SA"/>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 w:val="30"/>
          <w:szCs w:val="30"/>
          <w:highlight w:val="none"/>
          <w:lang w:val="en-US" w:eastAsia="zh-CN"/>
          <w14:textFill>
            <w14:solidFill>
              <w14:schemeClr w14:val="tx1">
                <w14:lumMod w14:val="95000"/>
                <w14:lumOff w14:val="5000"/>
              </w14:schemeClr>
            </w14:solidFill>
          </w14:textFill>
        </w:rPr>
        <w:t>1.</w:t>
      </w:r>
      <w:r>
        <w:rPr>
          <w:rFonts w:hint="eastAsia" w:ascii="宋体" w:hAnsi="宋体" w:eastAsia="宋体" w:cs="宋体"/>
          <w:b/>
          <w:bCs/>
          <w:color w:val="0D0D0D" w:themeColor="text1" w:themeTint="F2"/>
          <w:sz w:val="30"/>
          <w:szCs w:val="30"/>
          <w:highlight w:val="none"/>
          <w14:textFill>
            <w14:solidFill>
              <w14:schemeClr w14:val="tx1">
                <w14:lumMod w14:val="95000"/>
                <w14:lumOff w14:val="5000"/>
              </w14:schemeClr>
            </w14:solidFill>
          </w14:textFill>
        </w:rPr>
        <w:t>总体目标：</w:t>
      </w:r>
      <w:r>
        <w:rPr>
          <w:rFonts w:hint="eastAsia" w:ascii="仿宋_GB2312" w:hAnsi="Times New Roman" w:eastAsia="仿宋_GB2312" w:cs="Times New Roman"/>
          <w:bCs/>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规范实施农机购置补贴政策，充分发挥政策效益，推动农业机械化向全程全面高质高效转型升级，有效支撑粮食安全，助力全面推进乡村振兴，加快农业农村现代化。</w:t>
      </w:r>
    </w:p>
    <w:p>
      <w:pPr>
        <w:pStyle w:val="10"/>
        <w:widowControl w:val="0"/>
        <w:numPr>
          <w:ilvl w:val="0"/>
          <w:numId w:val="0"/>
        </w:numPr>
        <w:snapToGrid w:val="0"/>
        <w:spacing w:before="0" w:beforeAutospacing="0" w:after="0" w:afterAutospacing="0" w:line="560" w:lineRule="exact"/>
        <w:ind w:firstLine="602" w:firstLineChars="200"/>
        <w:jc w:val="both"/>
        <w:rPr>
          <w:rFonts w:hint="eastAsia" w:ascii="仿宋_GB2312" w:hAnsi="Times New Roman" w:eastAsia="仿宋_GB2312" w:cs="Times New Roman"/>
          <w:bCs/>
          <w:color w:val="auto"/>
          <w:kern w:val="2"/>
          <w:sz w:val="32"/>
          <w:szCs w:val="32"/>
          <w:highlight w:val="none"/>
          <w:lang w:val="en-US" w:eastAsia="zh-CN" w:bidi="ar-SA"/>
        </w:rPr>
      </w:pPr>
      <w:r>
        <w:rPr>
          <w:rFonts w:hint="eastAsia" w:ascii="仿宋" w:hAnsi="仿宋" w:eastAsia="仿宋" w:cs="仿宋"/>
          <w:b/>
          <w:bCs/>
          <w:color w:val="0D0D0D" w:themeColor="text1" w:themeTint="F2"/>
          <w:sz w:val="30"/>
          <w:szCs w:val="30"/>
          <w:highlight w:val="none"/>
          <w14:textFill>
            <w14:solidFill>
              <w14:schemeClr w14:val="tx1">
                <w14:lumMod w14:val="95000"/>
                <w14:lumOff w14:val="5000"/>
              </w14:schemeClr>
            </w14:solidFill>
          </w14:textFill>
        </w:rPr>
        <w:t>2</w:t>
      </w:r>
      <w:r>
        <w:rPr>
          <w:rFonts w:hint="eastAsia" w:ascii="仿宋" w:hAnsi="仿宋" w:eastAsia="仿宋" w:cs="仿宋"/>
          <w:b/>
          <w:bCs/>
          <w:color w:val="0D0D0D" w:themeColor="text1" w:themeTint="F2"/>
          <w:sz w:val="30"/>
          <w:szCs w:val="30"/>
          <w:highlight w:val="none"/>
          <w:lang w:val="en-US" w:eastAsia="zh-CN"/>
          <w14:textFill>
            <w14:solidFill>
              <w14:schemeClr w14:val="tx1">
                <w14:lumMod w14:val="95000"/>
                <w14:lumOff w14:val="5000"/>
              </w14:schemeClr>
            </w14:solidFill>
          </w14:textFill>
        </w:rPr>
        <w:t>.</w:t>
      </w:r>
      <w:r>
        <w:rPr>
          <w:rFonts w:hint="eastAsia" w:ascii="仿宋" w:hAnsi="仿宋" w:eastAsia="仿宋" w:cs="仿宋"/>
          <w:b/>
          <w:bCs/>
          <w:color w:val="0D0D0D" w:themeColor="text1" w:themeTint="F2"/>
          <w:sz w:val="30"/>
          <w:szCs w:val="30"/>
          <w:highlight w:val="none"/>
          <w14:textFill>
            <w14:solidFill>
              <w14:schemeClr w14:val="tx1">
                <w14:lumMod w14:val="95000"/>
                <w14:lumOff w14:val="5000"/>
              </w14:schemeClr>
            </w14:solidFill>
          </w14:textFill>
        </w:rPr>
        <w:t>阶段性目标：</w:t>
      </w:r>
      <w:r>
        <w:rPr>
          <w:rFonts w:hint="eastAsia" w:ascii="仿宋_GB2312" w:hAnsi="Times New Roman" w:eastAsia="仿宋_GB2312" w:cs="Times New Roman"/>
          <w:bCs/>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严格执行新农机〔2021〕94号）文，按照规定的补贴对象和补贴标准，在规定的补贴范围内进行农机购置补贴。2022年享受中央财政补贴的机具种类范围为15大类42个小类155个品目，根据农业生产需要和资金供需实际，从自治区补贴范围中选取本区域补贴机具品目，优先保障粮棉、林果、畜牧养殖、设施、特色等重要农产品生产以及支持残膜回收、翻堆肥、国产北斗智能终端设备等农业绿色发展和数字化发展所需机具的补贴需要，推动更多应用“北斗+”和“+北斗”模式，确保农业生产数据安全，将更多符合条件的高端、复式、智能产品纳入补贴，提高补贴标准，加大补贴力度。通过补贴政策实施有效促进农业机械化和畜牧机械化发展，使主要农作物的中耕、植保、烘干等关键薄弱环节机械化水平不断提高。增强农牧民购买农业</w:t>
      </w:r>
      <w:r>
        <w:rPr>
          <w:rFonts w:hint="eastAsia" w:ascii="仿宋_GB2312" w:hAnsi="Times New Roman" w:eastAsia="仿宋_GB2312" w:cs="Times New Roman"/>
          <w:bCs/>
          <w:color w:val="auto"/>
          <w:kern w:val="2"/>
          <w:sz w:val="32"/>
          <w:szCs w:val="32"/>
          <w:highlight w:val="none"/>
          <w:lang w:val="en-US" w:eastAsia="zh-CN" w:bidi="ar-SA"/>
        </w:rPr>
        <w:t>机械能力，扩大农牧民受益范围，促进农牧民增收。最终目标是实现农业现代化。农机购置补贴是给农民朋友买农机具的优惠政策，鼓励农户大面积普及农业机械化，推广农业机械化服务，促进农业机械更新换代，淘汰旧的机具和模式，增强农民种田的积极性，是普及农业机械化，解放劳动力。</w:t>
      </w:r>
    </w:p>
    <w:p>
      <w:pPr>
        <w:numPr>
          <w:ilvl w:val="0"/>
          <w:numId w:val="0"/>
        </w:numPr>
        <w:spacing w:line="360" w:lineRule="auto"/>
        <w:ind w:firstLine="600" w:firstLineChars="200"/>
        <w:rPr>
          <w:rFonts w:hint="eastAsia" w:ascii="仿宋" w:hAnsi="仿宋" w:eastAsia="仿宋" w:cs="仿宋"/>
          <w:color w:val="000000" w:themeColor="text1"/>
          <w:sz w:val="30"/>
          <w:szCs w:val="30"/>
          <w:highlight w:val="yellow"/>
          <w14:textFill>
            <w14:solidFill>
              <w14:schemeClr w14:val="tx1"/>
            </w14:solidFill>
          </w14:textFill>
        </w:rPr>
      </w:pPr>
    </w:p>
    <w:p>
      <w:pPr>
        <w:pStyle w:val="4"/>
        <w:spacing w:line="360" w:lineRule="auto"/>
        <w:rPr>
          <w:rFonts w:hint="eastAsia" w:ascii="宋体" w:hAnsi="宋体" w:eastAsia="宋体" w:cs="宋体"/>
          <w:sz w:val="30"/>
          <w:szCs w:val="30"/>
        </w:rPr>
      </w:pPr>
      <w:bookmarkStart w:id="3" w:name="_Toc68703830"/>
      <w:r>
        <w:rPr>
          <w:rFonts w:hint="eastAsia" w:ascii="宋体" w:hAnsi="宋体" w:eastAsia="宋体" w:cs="宋体"/>
          <w:sz w:val="30"/>
          <w:szCs w:val="30"/>
        </w:rPr>
        <w:t>二、绩效评价工作开展情况</w:t>
      </w:r>
      <w:bookmarkEnd w:id="3"/>
    </w:p>
    <w:p>
      <w:pPr>
        <w:pStyle w:val="5"/>
        <w:spacing w:line="360" w:lineRule="auto"/>
        <w:rPr>
          <w:rFonts w:hint="eastAsia" w:ascii="宋体" w:hAnsi="宋体" w:eastAsia="宋体" w:cs="宋体"/>
          <w:b/>
          <w:bCs/>
          <w:sz w:val="30"/>
          <w:szCs w:val="30"/>
        </w:rPr>
      </w:pPr>
      <w:bookmarkStart w:id="4" w:name="_Toc68703831"/>
      <w:r>
        <w:rPr>
          <w:rFonts w:hint="eastAsia" w:ascii="宋体" w:hAnsi="宋体" w:eastAsia="宋体" w:cs="宋体"/>
          <w:b/>
          <w:bCs/>
          <w:sz w:val="30"/>
          <w:szCs w:val="30"/>
        </w:rPr>
        <w:t>（一）绩效评价目的、对象和范围。</w:t>
      </w:r>
      <w:bookmarkEnd w:id="4"/>
    </w:p>
    <w:p>
      <w:pPr>
        <w:spacing w:line="360" w:lineRule="auto"/>
        <w:ind w:firstLine="602" w:firstLineChars="200"/>
        <w:rPr>
          <w:rFonts w:hint="eastAsia" w:ascii="宋体" w:hAnsi="宋体" w:eastAsia="宋体" w:cs="宋体"/>
          <w:b/>
          <w:bCs/>
          <w:sz w:val="30"/>
          <w:szCs w:val="30"/>
        </w:rPr>
      </w:pPr>
      <w:r>
        <w:rPr>
          <w:rFonts w:hint="eastAsia" w:ascii="宋体" w:hAnsi="宋体" w:eastAsia="宋体" w:cs="宋体"/>
          <w:b/>
          <w:bCs/>
          <w:sz w:val="30"/>
          <w:szCs w:val="30"/>
        </w:rPr>
        <w:t>1</w:t>
      </w:r>
      <w:r>
        <w:rPr>
          <w:rFonts w:hint="eastAsia" w:ascii="宋体" w:hAnsi="宋体" w:eastAsia="宋体" w:cs="宋体"/>
          <w:b/>
          <w:bCs/>
          <w:sz w:val="30"/>
          <w:szCs w:val="30"/>
          <w:lang w:val="en-US" w:eastAsia="zh-CN"/>
        </w:rPr>
        <w:t>.</w:t>
      </w:r>
      <w:r>
        <w:rPr>
          <w:rFonts w:hint="eastAsia" w:ascii="宋体" w:hAnsi="宋体" w:eastAsia="宋体" w:cs="宋体"/>
          <w:b/>
          <w:bCs/>
          <w:sz w:val="30"/>
          <w:szCs w:val="30"/>
        </w:rPr>
        <w:t>绩效评价目的：</w:t>
      </w:r>
    </w:p>
    <w:p>
      <w:pPr>
        <w:numPr>
          <w:ilvl w:val="0"/>
          <w:numId w:val="0"/>
        </w:num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通过绩效评价，客观地评判项目的管理绩效，了解和掌握农机购置补贴与应用补贴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并加强项目绩效管理，同时为项目后续资金投入、分配和管理提供决策依据。</w:t>
      </w:r>
    </w:p>
    <w:p>
      <w:pPr>
        <w:numPr>
          <w:ilvl w:val="0"/>
          <w:numId w:val="0"/>
        </w:numPr>
        <w:ind w:firstLine="602" w:firstLineChars="200"/>
        <w:jc w:val="both"/>
        <w:rPr>
          <w:rFonts w:hint="eastAsia" w:ascii="宋体" w:hAnsi="宋体" w:eastAsia="宋体" w:cs="宋体"/>
          <w:b/>
          <w:bCs/>
          <w:sz w:val="30"/>
          <w:szCs w:val="30"/>
        </w:rPr>
      </w:pPr>
      <w:r>
        <w:rPr>
          <w:rFonts w:hint="eastAsia" w:ascii="宋体" w:hAnsi="宋体" w:eastAsia="宋体" w:cs="宋体"/>
          <w:b/>
          <w:bCs/>
          <w:sz w:val="30"/>
          <w:szCs w:val="30"/>
          <w:lang w:val="en-US" w:eastAsia="zh-CN"/>
        </w:rPr>
        <w:t>2.</w:t>
      </w:r>
      <w:r>
        <w:rPr>
          <w:rFonts w:hint="eastAsia" w:ascii="宋体" w:hAnsi="宋体" w:eastAsia="宋体" w:cs="宋体"/>
          <w:b/>
          <w:bCs/>
          <w:sz w:val="30"/>
          <w:szCs w:val="30"/>
        </w:rPr>
        <w:t>绩效评价对象：</w:t>
      </w:r>
    </w:p>
    <w:p>
      <w:pPr>
        <w:numPr>
          <w:ilvl w:val="0"/>
          <w:numId w:val="0"/>
        </w:num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农机购置补贴与应用补贴项目。</w:t>
      </w:r>
    </w:p>
    <w:p>
      <w:pPr>
        <w:numPr>
          <w:ilvl w:val="0"/>
          <w:numId w:val="0"/>
        </w:numPr>
        <w:spacing w:line="360" w:lineRule="auto"/>
        <w:ind w:firstLine="602" w:firstLineChars="200"/>
        <w:rPr>
          <w:rFonts w:hint="eastAsia" w:ascii="宋体" w:hAnsi="宋体" w:eastAsia="宋体" w:cs="宋体"/>
          <w:b/>
          <w:bCs/>
          <w:sz w:val="30"/>
          <w:szCs w:val="30"/>
        </w:rPr>
      </w:pPr>
      <w:r>
        <w:rPr>
          <w:rFonts w:hint="eastAsia" w:ascii="宋体" w:hAnsi="宋体" w:eastAsia="宋体" w:cs="宋体"/>
          <w:b/>
          <w:bCs/>
          <w:sz w:val="30"/>
          <w:szCs w:val="30"/>
          <w:lang w:val="en-US" w:eastAsia="zh-CN"/>
        </w:rPr>
        <w:t>3.</w:t>
      </w:r>
      <w:r>
        <w:rPr>
          <w:rFonts w:hint="eastAsia" w:ascii="宋体" w:hAnsi="宋体" w:eastAsia="宋体" w:cs="宋体"/>
          <w:b/>
          <w:bCs/>
          <w:sz w:val="30"/>
          <w:szCs w:val="30"/>
        </w:rPr>
        <w:t>绩效评价范围：</w:t>
      </w:r>
    </w:p>
    <w:p>
      <w:pPr>
        <w:spacing w:line="360" w:lineRule="auto"/>
        <w:ind w:firstLine="640" w:firstLineChars="200"/>
        <w:rPr>
          <w:color w:val="auto"/>
        </w:rPr>
      </w:pPr>
      <w:r>
        <w:rPr>
          <w:rFonts w:hint="eastAsia" w:ascii="仿宋_GB2312" w:hAnsi="Times New Roman" w:eastAsia="仿宋_GB2312" w:cs="Times New Roman"/>
          <w:bCs/>
          <w:color w:val="auto"/>
          <w:kern w:val="2"/>
          <w:sz w:val="32"/>
          <w:szCs w:val="32"/>
          <w:lang w:val="en-US" w:eastAsia="zh-CN" w:bidi="ar-SA"/>
        </w:rPr>
        <w:t>本次评价从项目决策（包括绩效目标、决策过程）、项目管理（包括项目资金、项目实施）、项目产出（包括项目产出数量、产出质量、产出时效和产出成本）项目效益四个维度进行农机购置补贴与应用补贴项目评价，评价核心为资金的支出完成情况和效果。</w:t>
      </w:r>
    </w:p>
    <w:p>
      <w:pPr>
        <w:spacing w:line="360" w:lineRule="auto"/>
        <w:rPr>
          <w:rFonts w:hint="eastAsia" w:ascii="宋体" w:hAnsi="宋体" w:eastAsia="宋体" w:cs="宋体"/>
          <w:sz w:val="30"/>
          <w:szCs w:val="30"/>
        </w:rPr>
      </w:pPr>
    </w:p>
    <w:p>
      <w:pPr>
        <w:pStyle w:val="5"/>
        <w:spacing w:line="360" w:lineRule="auto"/>
        <w:rPr>
          <w:rFonts w:hint="eastAsia" w:ascii="宋体" w:hAnsi="宋体" w:eastAsia="宋体" w:cs="宋体"/>
          <w:b/>
          <w:bCs/>
          <w:sz w:val="30"/>
          <w:szCs w:val="30"/>
        </w:rPr>
      </w:pPr>
      <w:bookmarkStart w:id="5" w:name="_Toc68703832"/>
      <w:r>
        <w:rPr>
          <w:rFonts w:hint="eastAsia" w:ascii="宋体" w:hAnsi="宋体" w:eastAsia="宋体" w:cs="宋体"/>
          <w:b/>
          <w:bCs/>
          <w:sz w:val="30"/>
          <w:szCs w:val="30"/>
        </w:rPr>
        <w:t>（二）绩效评价原则、评价指标体系、评价方法、评价标准等。</w:t>
      </w:r>
      <w:bookmarkEnd w:id="5"/>
    </w:p>
    <w:p>
      <w:pPr>
        <w:spacing w:line="360" w:lineRule="auto"/>
        <w:ind w:firstLine="602" w:firstLineChars="200"/>
        <w:jc w:val="left"/>
        <w:rPr>
          <w:rFonts w:hint="eastAsia" w:ascii="宋体" w:hAnsi="宋体" w:eastAsia="宋体" w:cs="宋体"/>
          <w:b/>
          <w:bCs/>
          <w:sz w:val="30"/>
          <w:szCs w:val="30"/>
        </w:rPr>
      </w:pPr>
      <w:r>
        <w:rPr>
          <w:rFonts w:hint="eastAsia" w:ascii="宋体" w:hAnsi="宋体" w:eastAsia="宋体" w:cs="宋体"/>
          <w:b/>
          <w:bCs/>
          <w:sz w:val="30"/>
          <w:szCs w:val="30"/>
        </w:rPr>
        <w:t>1</w:t>
      </w:r>
      <w:r>
        <w:rPr>
          <w:rFonts w:hint="eastAsia" w:ascii="宋体" w:hAnsi="宋体" w:eastAsia="宋体" w:cs="宋体"/>
          <w:b/>
          <w:bCs/>
          <w:sz w:val="30"/>
          <w:szCs w:val="30"/>
          <w:lang w:val="en-US" w:eastAsia="zh-CN"/>
        </w:rPr>
        <w:t>.</w:t>
      </w:r>
      <w:r>
        <w:rPr>
          <w:rFonts w:hint="eastAsia" w:ascii="宋体" w:hAnsi="宋体" w:eastAsia="宋体" w:cs="宋体"/>
          <w:b/>
          <w:bCs/>
          <w:sz w:val="30"/>
          <w:szCs w:val="30"/>
        </w:rPr>
        <w:t>绩效评价原则</w:t>
      </w:r>
    </w:p>
    <w:p>
      <w:p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（一）科学公正。本次项目支出绩效评价运用科学合理的方法，按照规范的程序，对项目绩效进行客观、公正的反映。</w:t>
      </w:r>
    </w:p>
    <w:p>
      <w:p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（二）统筹兼顾。本次项目支出绩效评价由本单位自主实施，即“谁支出、谁自评”。</w:t>
      </w:r>
    </w:p>
    <w:p>
      <w:p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（三）激励约束。本次项目支出绩效评价结果与预算安排、政策调整、改进管理实质性挂钩，体现奖优罚劣和激励相容导向，有效要安排、低效要压减、无效要问责。</w:t>
      </w:r>
    </w:p>
    <w:p>
      <w:p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（四）公开透明。本次项目支出绩效评价结果已依法依规公开在霍城县政府网站上，并自觉接受社会监督。</w:t>
      </w:r>
    </w:p>
    <w:p>
      <w:pPr>
        <w:pStyle w:val="2"/>
      </w:pPr>
    </w:p>
    <w:p>
      <w:pPr>
        <w:numPr>
          <w:ilvl w:val="0"/>
          <w:numId w:val="3"/>
        </w:numPr>
        <w:spacing w:line="360" w:lineRule="auto"/>
        <w:ind w:firstLine="600" w:firstLineChars="200"/>
        <w:jc w:val="left"/>
        <w:rPr>
          <w:rFonts w:hint="eastAsia"/>
        </w:rPr>
      </w:pPr>
      <w:r>
        <w:rPr>
          <w:rFonts w:hint="eastAsia"/>
        </w:rPr>
        <w:t>评价指标体系（附表说明）</w:t>
      </w:r>
    </w:p>
    <w:p>
      <w:pPr>
        <w:pStyle w:val="5"/>
        <w:spacing w:before="0" w:after="0" w:line="240" w:lineRule="auto"/>
        <w:jc w:val="center"/>
        <w:rPr>
          <w:rFonts w:hint="eastAsia"/>
        </w:rPr>
      </w:pPr>
      <w:r>
        <w:rPr>
          <w:rFonts w:hint="eastAsia" w:ascii="Times New Roman" w:hAnsi="Times New Roman" w:eastAsia="仿宋_GB2312" w:cs="Times New Roman"/>
          <w:b w:val="0"/>
          <w:bCs w:val="0"/>
          <w:sz w:val="30"/>
          <w:szCs w:val="24"/>
          <w:lang w:eastAsia="zh-CN"/>
        </w:rPr>
        <w:t>农机购置补贴与应用补贴</w:t>
      </w:r>
      <w:r>
        <w:rPr>
          <w:rFonts w:hint="eastAsia" w:ascii="Times New Roman" w:hAnsi="Times New Roman" w:eastAsia="仿宋_GB2312" w:cs="Times New Roman"/>
          <w:b w:val="0"/>
          <w:bCs w:val="0"/>
          <w:sz w:val="30"/>
          <w:szCs w:val="24"/>
        </w:rPr>
        <w:t>项目支出绩效评价指标体系</w:t>
      </w:r>
    </w:p>
    <w:tbl>
      <w:tblPr>
        <w:tblStyle w:val="11"/>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8</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8</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rPr>
          <w:rFonts w:hint="eastAsia" w:ascii="宋体" w:hAnsi="宋体" w:eastAsia="宋体" w:cs="宋体"/>
          <w:sz w:val="30"/>
          <w:szCs w:val="30"/>
        </w:rPr>
      </w:pPr>
    </w:p>
    <w:p>
      <w:pPr>
        <w:pStyle w:val="2"/>
        <w:rPr>
          <w:rFonts w:hint="eastAsia"/>
        </w:rPr>
        <w:sectPr>
          <w:pgSz w:w="11906" w:h="16838"/>
          <w:pgMar w:top="1928" w:right="1531" w:bottom="1701" w:left="1531" w:header="737" w:footer="851" w:gutter="0"/>
          <w:cols w:space="720" w:num="1"/>
          <w:docGrid w:type="lines" w:linePitch="408" w:charSpace="0"/>
        </w:sectPr>
      </w:pPr>
    </w:p>
    <w:p>
      <w:pPr>
        <w:spacing w:line="360" w:lineRule="auto"/>
        <w:ind w:firstLine="602" w:firstLineChars="200"/>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3、评价方法</w:t>
      </w:r>
    </w:p>
    <w:p>
      <w:p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本次项目支出绩效自评采用因素分析法。霍城县农业农村局农机购置补贴，年初设定的绩效目标合理明确，符合行业发展政策导向及相关文件要求；对农机购置补贴机具核验、信访投诉管理、信息公开、违规行为处理等进行了规定，在实际工作中基本得到执行，流程规范，资金支付手续齐全。</w:t>
      </w:r>
    </w:p>
    <w:p>
      <w:pPr>
        <w:spacing w:line="360" w:lineRule="auto"/>
        <w:ind w:firstLine="602" w:firstLineChars="200"/>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4</w:t>
      </w:r>
      <w:r>
        <w:rPr>
          <w:rFonts w:hint="eastAsia" w:ascii="宋体" w:hAnsi="宋体" w:eastAsia="宋体" w:cs="宋体"/>
          <w:b/>
          <w:bCs/>
          <w:color w:val="000000" w:themeColor="text1"/>
          <w:sz w:val="30"/>
          <w:szCs w:val="30"/>
          <w:lang w:eastAsia="zh-CN"/>
          <w14:textFill>
            <w14:solidFill>
              <w14:schemeClr w14:val="tx1"/>
            </w14:solidFill>
          </w14:textFill>
        </w:rPr>
        <w:t>、</w:t>
      </w:r>
      <w:r>
        <w:rPr>
          <w:rFonts w:hint="eastAsia" w:ascii="宋体" w:hAnsi="宋体" w:eastAsia="宋体" w:cs="宋体"/>
          <w:b/>
          <w:bCs/>
          <w:color w:val="000000" w:themeColor="text1"/>
          <w:sz w:val="30"/>
          <w:szCs w:val="30"/>
          <w14:textFill>
            <w14:solidFill>
              <w14:schemeClr w14:val="tx1"/>
            </w14:solidFill>
          </w14:textFill>
        </w:rPr>
        <w:t>评价标准</w:t>
      </w:r>
    </w:p>
    <w:p>
      <w:pPr>
        <w:spacing w:line="360" w:lineRule="auto"/>
        <w:ind w:firstLine="640" w:firstLineChars="200"/>
        <w:rPr>
          <w:bCs/>
          <w:color w:val="FF0000"/>
          <w:sz w:val="32"/>
          <w:szCs w:val="32"/>
          <w:highlight w:val="yellow"/>
        </w:rPr>
      </w:pPr>
      <w:r>
        <w:rPr>
          <w:rFonts w:hint="eastAsia" w:ascii="仿宋_GB2312" w:hAnsi="Times New Roman" w:eastAsia="仿宋_GB2312" w:cs="Times New Roman"/>
          <w:bCs/>
          <w:color w:val="auto"/>
          <w:kern w:val="2"/>
          <w:sz w:val="32"/>
          <w:szCs w:val="32"/>
          <w:highlight w:val="none"/>
          <w:lang w:val="en-US" w:eastAsia="zh-CN" w:bidi="ar-SA"/>
        </w:rPr>
        <w:t>本次项目支出绩效自评采用计划标准，原因是：（一）计划标准。</w:t>
      </w:r>
      <w:r>
        <w:rPr>
          <w:rFonts w:hint="eastAsia" w:ascii="仿宋_GB2312" w:hAnsi="Times New Roman" w:eastAsia="仿宋_GB2312" w:cs="Times New Roman"/>
          <w:bCs/>
          <w:color w:val="auto"/>
          <w:kern w:val="2"/>
          <w:sz w:val="32"/>
          <w:szCs w:val="32"/>
          <w:lang w:val="en-US" w:eastAsia="zh-CN" w:bidi="ar-SA"/>
        </w:rPr>
        <w:t>根据自治区农业农村厅、财政厅《新疆维吾尔自治区2021-2023年农业机械购置补贴实施方案》（新农机〔2021〕94号）以及《伊犁州2021-2023年农业机械购置补贴实施方案》精神</w:t>
      </w:r>
      <w:r>
        <w:rPr>
          <w:rFonts w:hint="eastAsia" w:ascii="仿宋_GB2312" w:hAnsi="Times New Roman" w:eastAsia="仿宋_GB2312" w:cs="Times New Roman"/>
          <w:bCs/>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2022年享受中央财政补贴的机具种类范围为15大类42个小类155个品目，根据农业生产需要和资金供需实际，从自治区补贴范围中选取本区域补贴机具品目，优先保障粮棉、林果、畜牧养殖、设施、特色等重要农产品生产</w:t>
      </w:r>
      <w:r>
        <w:rPr>
          <w:rFonts w:hint="eastAsia" w:ascii="仿宋_GB2312" w:cs="Times New Roman"/>
          <w:bCs/>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w:t>
      </w:r>
    </w:p>
    <w:p>
      <w:pPr>
        <w:pStyle w:val="5"/>
        <w:spacing w:line="360" w:lineRule="auto"/>
        <w:rPr>
          <w:rFonts w:hint="eastAsia" w:ascii="宋体" w:hAnsi="宋体" w:eastAsia="宋体" w:cs="宋体"/>
          <w:b/>
          <w:bCs/>
          <w:color w:val="000000" w:themeColor="text1"/>
          <w:sz w:val="30"/>
          <w:szCs w:val="30"/>
          <w14:textFill>
            <w14:solidFill>
              <w14:schemeClr w14:val="tx1"/>
            </w14:solidFill>
          </w14:textFill>
        </w:rPr>
      </w:pPr>
      <w:bookmarkStart w:id="6" w:name="_Toc68703833"/>
      <w:r>
        <w:rPr>
          <w:rFonts w:hint="eastAsia" w:ascii="宋体" w:hAnsi="宋体" w:eastAsia="宋体" w:cs="宋体"/>
          <w:b/>
          <w:bCs/>
          <w:color w:val="000000" w:themeColor="text1"/>
          <w:sz w:val="30"/>
          <w:szCs w:val="30"/>
          <w14:textFill>
            <w14:solidFill>
              <w14:schemeClr w14:val="tx1"/>
            </w14:solidFill>
          </w14:textFill>
        </w:rPr>
        <w:t>（三）绩效评价工作过程。</w:t>
      </w:r>
      <w:bookmarkEnd w:id="6"/>
    </w:p>
    <w:p>
      <w:p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1.前期准备：</w:t>
      </w:r>
    </w:p>
    <w:p>
      <w:p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2023年3月1日，</w:t>
      </w:r>
      <w:r>
        <w:rPr>
          <w:rFonts w:hint="eastAsia" w:ascii="仿宋_GB2312" w:hAnsi="Times New Roman" w:eastAsia="仿宋_GB2312" w:cs="Times New Roman"/>
          <w:bCs/>
          <w:color w:val="auto"/>
          <w:kern w:val="2"/>
          <w:sz w:val="32"/>
          <w:szCs w:val="32"/>
          <w:lang w:val="zh-CN" w:eastAsia="zh-CN" w:bidi="ar-SA"/>
        </w:rPr>
        <w:t>开始前期准备工作，评价组通过前期调研</w:t>
      </w:r>
      <w:r>
        <w:rPr>
          <w:rFonts w:hint="eastAsia" w:ascii="仿宋_GB2312" w:hAnsi="Times New Roman" w:eastAsia="仿宋_GB2312" w:cs="Times New Roman"/>
          <w:bCs/>
          <w:color w:val="auto"/>
          <w:kern w:val="2"/>
          <w:sz w:val="32"/>
          <w:szCs w:val="32"/>
          <w:lang w:val="en-US" w:eastAsia="zh-CN" w:bidi="ar-SA"/>
        </w:rPr>
        <w:t>确定绩效评价对象和范围，</w:t>
      </w:r>
      <w:r>
        <w:rPr>
          <w:rFonts w:hint="eastAsia" w:ascii="仿宋_GB2312" w:hAnsi="Times New Roman" w:eastAsia="仿宋_GB2312" w:cs="Times New Roman"/>
          <w:bCs/>
          <w:color w:val="auto"/>
          <w:kern w:val="2"/>
          <w:sz w:val="32"/>
          <w:szCs w:val="32"/>
          <w:lang w:val="zh-CN" w:eastAsia="zh-CN" w:bidi="ar-SA"/>
        </w:rPr>
        <w:t>确定了评价的目的、方法以及评价的原则，根据项目的内容和特征制定了评价指标体系及评价标准以及评价实施方案，修正并确定所需资料清单，最终确定</w:t>
      </w:r>
      <w:r>
        <w:rPr>
          <w:rFonts w:hint="eastAsia" w:ascii="仿宋_GB2312" w:hAnsi="Times New Roman" w:eastAsia="仿宋_GB2312" w:cs="Times New Roman"/>
          <w:bCs/>
          <w:color w:val="auto"/>
          <w:kern w:val="2"/>
          <w:sz w:val="32"/>
          <w:szCs w:val="32"/>
          <w:lang w:val="en-US" w:eastAsia="zh-CN" w:bidi="ar-SA"/>
        </w:rPr>
        <w:t>绩效评价工作方案；</w:t>
      </w:r>
    </w:p>
    <w:p>
      <w:p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2.组织实施：</w:t>
      </w:r>
    </w:p>
    <w:p>
      <w:p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2023年3月5日，评价工作进入实施阶段，评价组收集绩效评价相关数据资料，进行现场调研、座谈；并与项目实施负责人沟通，了解资金的内容、操作流程、管理机制、资金使用方向等情况，分析形成初步结论。</w:t>
      </w:r>
    </w:p>
    <w:p>
      <w:p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3.分析评价：</w:t>
      </w:r>
    </w:p>
    <w:p>
      <w:pPr>
        <w:spacing w:line="360" w:lineRule="auto"/>
        <w:ind w:firstLine="640" w:firstLineChars="200"/>
        <w:rPr>
          <w:rFonts w:hint="eastAsia" w:ascii="宋体" w:hAnsi="宋体" w:eastAsia="宋体" w:cs="宋体"/>
          <w:color w:val="FF0000"/>
          <w:sz w:val="30"/>
          <w:szCs w:val="30"/>
        </w:rPr>
      </w:pPr>
      <w:r>
        <w:rPr>
          <w:rFonts w:hint="eastAsia" w:ascii="仿宋_GB2312" w:hAnsi="Times New Roman" w:eastAsia="仿宋_GB2312" w:cs="Times New Roman"/>
          <w:bCs/>
          <w:color w:val="auto"/>
          <w:kern w:val="2"/>
          <w:sz w:val="32"/>
          <w:szCs w:val="32"/>
          <w:lang w:val="en-US" w:eastAsia="zh-CN" w:bidi="ar-SA"/>
        </w:rPr>
        <w:t>2023年3月10日-3月25日，评价组按照绩效评价的原则和规范，对取得的资料进行审查核实，对采集的数据进行分析，按照绩效评价指标评分表逐项进行打分、分析，汇总各方评价结果，综合分析并形成评价结论。</w:t>
      </w:r>
    </w:p>
    <w:p>
      <w:pPr>
        <w:pStyle w:val="4"/>
        <w:spacing w:line="360" w:lineRule="auto"/>
        <w:rPr>
          <w:rFonts w:hint="eastAsia" w:ascii="宋体" w:hAnsi="宋体" w:eastAsia="宋体" w:cs="宋体"/>
          <w:sz w:val="30"/>
          <w:szCs w:val="30"/>
        </w:rPr>
      </w:pPr>
      <w:bookmarkStart w:id="7" w:name="_Toc68703834"/>
      <w:r>
        <w:rPr>
          <w:rFonts w:hint="eastAsia" w:ascii="宋体" w:hAnsi="宋体" w:eastAsia="宋体" w:cs="宋体"/>
          <w:sz w:val="30"/>
          <w:szCs w:val="30"/>
        </w:rPr>
        <w:t>三、综合评价情况及评价结论</w:t>
      </w:r>
      <w:bookmarkEnd w:id="7"/>
    </w:p>
    <w:p>
      <w:pPr>
        <w:pStyle w:val="5"/>
        <w:spacing w:line="360" w:lineRule="auto"/>
        <w:rPr>
          <w:rFonts w:hint="eastAsia" w:ascii="宋体" w:hAnsi="宋体" w:eastAsia="宋体" w:cs="宋体"/>
          <w:b/>
          <w:bCs/>
          <w:sz w:val="30"/>
          <w:szCs w:val="30"/>
        </w:rPr>
      </w:pPr>
      <w:bookmarkStart w:id="8" w:name="_Toc68703836"/>
      <w:r>
        <w:rPr>
          <w:rFonts w:hint="eastAsia" w:ascii="宋体" w:hAnsi="宋体" w:eastAsia="宋体" w:cs="宋体"/>
          <w:b/>
          <w:bCs/>
          <w:sz w:val="30"/>
          <w:szCs w:val="30"/>
        </w:rPr>
        <w:t>（二）评价结论</w:t>
      </w:r>
      <w:bookmarkEnd w:id="8"/>
    </w:p>
    <w:p>
      <w:pPr>
        <w:pStyle w:val="5"/>
        <w:spacing w:line="360" w:lineRule="auto"/>
        <w:rPr>
          <w:rFonts w:hint="eastAsia" w:ascii="仿宋_GB2312" w:eastAsia="仿宋_GB2312"/>
          <w:b w:val="0"/>
          <w:bCs w:val="0"/>
        </w:rPr>
      </w:pPr>
      <w:bookmarkStart w:id="9" w:name="_Toc68703835"/>
      <w:bookmarkStart w:id="10" w:name="_Toc68703837"/>
      <w:r>
        <w:rPr>
          <w:rFonts w:hint="eastAsia" w:ascii="仿宋_GB2312" w:eastAsia="仿宋_GB2312"/>
          <w:b w:val="0"/>
          <w:bCs w:val="0"/>
        </w:rPr>
        <w:t>（一）综合评价情况</w:t>
      </w:r>
      <w:bookmarkEnd w:id="9"/>
    </w:p>
    <w:p>
      <w:pPr>
        <w:spacing w:line="360" w:lineRule="auto"/>
        <w:ind w:firstLine="640" w:firstLineChars="200"/>
        <w:rPr>
          <w:rFonts w:hint="eastAsia" w:ascii="仿宋_GB2312" w:hAnsi="Times New Roman" w:eastAsia="仿宋_GB2312" w:cs="Times New Roman"/>
          <w:bCs/>
          <w:color w:val="auto"/>
          <w:kern w:val="2"/>
          <w:sz w:val="32"/>
          <w:szCs w:val="32"/>
          <w:lang w:val="en-US" w:eastAsia="zh-CN" w:bidi="ar-SA"/>
        </w:rPr>
      </w:pPr>
      <w:r>
        <w:rPr>
          <w:rFonts w:hint="eastAsia" w:ascii="仿宋_GB2312" w:hAnsi="Times New Roman" w:eastAsia="仿宋_GB2312" w:cs="Times New Roman"/>
          <w:bCs/>
          <w:color w:val="auto"/>
          <w:kern w:val="2"/>
          <w:sz w:val="32"/>
          <w:szCs w:val="32"/>
          <w:lang w:val="en-US" w:eastAsia="zh-CN" w:bidi="ar-SA"/>
        </w:rPr>
        <w:t>本项目严格按照科学公正、统筹兼顾、激励约束、公开透明的绩效评价原则，采用因素分析法，坚持计划标准对本项目的立项、绩效目标、资金投入、资金管理、组织实施、产出数量、产出质量、产出时效、产出成本、项目效益进行了综合评价。</w:t>
      </w:r>
    </w:p>
    <w:p>
      <w:pPr>
        <w:spacing w:line="360" w:lineRule="auto"/>
        <w:ind w:firstLine="600" w:firstLineChars="200"/>
        <w:jc w:val="center"/>
        <w:rPr>
          <w:color w:val="FF0000"/>
        </w:rPr>
      </w:pPr>
      <w:r>
        <w:rPr>
          <w:rFonts w:hint="eastAsia" w:ascii="Times New Roman" w:hAnsi="Times New Roman" w:eastAsia="仿宋_GB2312" w:cs="Times New Roman"/>
          <w:b w:val="0"/>
          <w:bCs w:val="0"/>
          <w:sz w:val="30"/>
          <w:szCs w:val="24"/>
          <w:lang w:eastAsia="zh-CN"/>
        </w:rPr>
        <w:t>农机购置补贴与应用补贴</w:t>
      </w:r>
      <w:r>
        <w:rPr>
          <w:rFonts w:hint="eastAsia" w:ascii="Times New Roman" w:hAnsi="Times New Roman" w:eastAsia="仿宋_GB2312" w:cs="Times New Roman"/>
          <w:b w:val="0"/>
          <w:bCs w:val="0"/>
          <w:sz w:val="30"/>
          <w:szCs w:val="24"/>
        </w:rPr>
        <w:t>项目</w:t>
      </w:r>
      <w:r>
        <w:rPr>
          <w:rFonts w:hint="eastAsia"/>
          <w:color w:val="auto"/>
        </w:rPr>
        <w:t>评价得分情况</w:t>
      </w:r>
    </w:p>
    <w:tbl>
      <w:tblPr>
        <w:tblStyle w:val="11"/>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16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5"/>
        <w:numPr>
          <w:ilvl w:val="0"/>
          <w:numId w:val="2"/>
        </w:numPr>
        <w:spacing w:line="360" w:lineRule="auto"/>
        <w:ind w:left="0" w:leftChars="0" w:firstLine="0" w:firstLineChars="0"/>
        <w:rPr>
          <w:rFonts w:hint="eastAsia" w:ascii="仿宋_GB2312" w:hAnsi="Times New Roman" w:eastAsia="仿宋_GB2312" w:cs="Times New Roman"/>
          <w:bCs/>
          <w:color w:val="auto"/>
          <w:kern w:val="2"/>
          <w:sz w:val="32"/>
          <w:szCs w:val="32"/>
          <w:lang w:val="en-US" w:eastAsia="zh-CN" w:bidi="ar-SA"/>
        </w:rPr>
      </w:pPr>
      <w:r>
        <w:rPr>
          <w:rFonts w:hint="eastAsia" w:ascii="仿宋_GB2312" w:eastAsia="仿宋_GB2312"/>
          <w:b w:val="0"/>
          <w:bCs w:val="0"/>
        </w:rPr>
        <w:t>评价结论</w:t>
      </w:r>
    </w:p>
    <w:p>
      <w:pPr>
        <w:pStyle w:val="5"/>
        <w:numPr>
          <w:ilvl w:val="0"/>
          <w:numId w:val="0"/>
        </w:numPr>
        <w:spacing w:line="360" w:lineRule="auto"/>
        <w:ind w:leftChars="0" w:firstLine="320" w:firstLineChars="1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本项目的项目决策、项目过程、项目产出、项目效益均达到了预期要求，最终评分为100分，评价等级为“优”项目达成年度指标。</w:t>
      </w:r>
    </w:p>
    <w:p>
      <w:pPr>
        <w:pStyle w:val="4"/>
        <w:numPr>
          <w:ilvl w:val="0"/>
          <w:numId w:val="4"/>
        </w:numPr>
        <w:spacing w:line="360" w:lineRule="auto"/>
        <w:rPr>
          <w:rFonts w:hint="eastAsia" w:ascii="宋体" w:hAnsi="宋体" w:eastAsia="宋体" w:cs="宋体"/>
          <w:sz w:val="30"/>
          <w:szCs w:val="30"/>
        </w:rPr>
      </w:pPr>
      <w:r>
        <w:rPr>
          <w:rFonts w:hint="eastAsia" w:ascii="宋体" w:hAnsi="宋体" w:eastAsia="宋体" w:cs="宋体"/>
          <w:sz w:val="30"/>
          <w:szCs w:val="30"/>
        </w:rPr>
        <w:t>绩效评价指标分析</w:t>
      </w:r>
      <w:bookmarkEnd w:id="10"/>
    </w:p>
    <w:p>
      <w:pPr>
        <w:pStyle w:val="5"/>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40" w:firstLineChars="200"/>
        <w:jc w:val="left"/>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1.立项依据充分性</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根据自治区农业农村厅、财政厅《新疆维吾尔自治区2021-2023年农业机械购置补贴实施方案》（新农机〔2021〕94号）以及《伊犁州2021-2023年农业机械购置补贴实施方案》要求；项目立项符合行业发展规划和政策要求；项目立项与部门职责范围相符，属于部门履职所需；项目属于公共财政支持范围，符合中央、地方事权支出责任划分原则；项目未与相关部门同类项目或部门内部相关项目重复。</w:t>
      </w:r>
    </w:p>
    <w:p>
      <w:pPr>
        <w:spacing w:line="360" w:lineRule="auto"/>
        <w:ind w:firstLine="640" w:firstLineChars="200"/>
        <w:jc w:val="left"/>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2.立项程序规范性</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项目按照规定的程序申请设立；审批文件、材料符合相关要求；事前已经过必要的可行性研究、专家论证、风险评估、绩效评估、集体决策。</w:t>
      </w:r>
    </w:p>
    <w:p>
      <w:pPr>
        <w:spacing w:line="360" w:lineRule="auto"/>
        <w:ind w:firstLine="640" w:firstLineChars="200"/>
        <w:jc w:val="left"/>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3.绩效目标合理性</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农机购置补贴与应用补贴项目设立了项目绩效目标，与</w:t>
      </w:r>
      <w:r>
        <w:rPr>
          <w:rFonts w:hint="eastAsia" w:ascii="仿宋_GB2312" w:cs="Times New Roman"/>
          <w:b w:val="0"/>
          <w:bCs w:val="0"/>
          <w:color w:val="auto"/>
          <w:kern w:val="2"/>
          <w:sz w:val="32"/>
          <w:szCs w:val="32"/>
          <w:lang w:val="en-US" w:eastAsia="zh-CN" w:bidi="ar-SA"/>
        </w:rPr>
        <w:t>农经站补贴</w:t>
      </w:r>
      <w:r>
        <w:rPr>
          <w:rFonts w:hint="eastAsia" w:ascii="仿宋_GB2312" w:hAnsi="Times New Roman" w:eastAsia="仿宋_GB2312" w:cs="Times New Roman"/>
          <w:b w:val="0"/>
          <w:bCs w:val="0"/>
          <w:color w:val="auto"/>
          <w:kern w:val="2"/>
          <w:sz w:val="32"/>
          <w:szCs w:val="32"/>
          <w:lang w:val="en-US" w:eastAsia="zh-CN" w:bidi="ar-SA"/>
        </w:rPr>
        <w:t>具有相关性，项目的预期产出效益和效果也均能符合正常的业绩水平，并且与预算确定的项目投资额或资金量相匹配。</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绩效指标明确性</w:t>
      </w:r>
    </w:p>
    <w:p>
      <w:pPr>
        <w:spacing w:line="360" w:lineRule="auto"/>
        <w:ind w:firstLine="640" w:firstLineChars="200"/>
        <w:rPr>
          <w:color w:val="FF0000"/>
        </w:rPr>
      </w:pPr>
      <w:bookmarkStart w:id="12" w:name="_Hlk68699917"/>
      <w:r>
        <w:rPr>
          <w:rFonts w:hint="eastAsia" w:ascii="仿宋_GB2312" w:hAnsi="Times New Roman" w:eastAsia="仿宋_GB2312" w:cs="Times New Roman"/>
          <w:b w:val="0"/>
          <w:bCs w:val="0"/>
          <w:color w:val="auto"/>
          <w:kern w:val="2"/>
          <w:sz w:val="32"/>
          <w:szCs w:val="32"/>
          <w:lang w:val="en-US" w:eastAsia="zh-CN" w:bidi="ar-SA"/>
        </w:rPr>
        <w:t>农机购置补贴与应用补贴项目将项目绩效目标细化分解为具体的绩效指标，一级指标共3条，二级指标共5条，三级指标共10条，其中量化指标条数共8条，所有绩效指标均通过清晰、可衡量的指标值予以体现，并且做到了与项目目标任务数或计划数相对应。</w:t>
      </w:r>
      <w:bookmarkEnd w:id="12"/>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预算编制科学性</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预算编制经过科学论证；预算内容与项目内容匹配；预算额度测算依据充分，按照标准编制；预算确定的项目投资额或资金量与工作任务相匹配。</w:t>
      </w:r>
    </w:p>
    <w:p>
      <w:pPr>
        <w:spacing w:line="360" w:lineRule="auto"/>
        <w:ind w:firstLine="600" w:firstLineChars="200"/>
        <w:jc w:val="left"/>
        <w:rPr>
          <w:rFonts w:hint="eastAsia"/>
          <w:color w:val="auto"/>
        </w:rPr>
      </w:pPr>
      <w:r>
        <w:rPr>
          <w:rFonts w:hint="eastAsia"/>
          <w:color w:val="auto"/>
        </w:rPr>
        <w:t>6</w:t>
      </w:r>
      <w:r>
        <w:rPr>
          <w:rFonts w:hint="eastAsia"/>
          <w:color w:val="auto"/>
          <w:lang w:val="en-US" w:eastAsia="zh-CN"/>
        </w:rPr>
        <w:t>.</w:t>
      </w:r>
      <w:r>
        <w:rPr>
          <w:rFonts w:hint="eastAsia"/>
          <w:color w:val="auto"/>
        </w:rPr>
        <w:t>资金分配合理性</w:t>
      </w:r>
    </w:p>
    <w:p>
      <w:pPr>
        <w:spacing w:line="360" w:lineRule="auto"/>
        <w:ind w:firstLine="640" w:firstLineChars="200"/>
        <w:rPr>
          <w:rFonts w:hint="eastAsia"/>
        </w:rPr>
      </w:pPr>
      <w:r>
        <w:rPr>
          <w:rFonts w:hint="eastAsia" w:ascii="仿宋_GB2312" w:hAnsi="Times New Roman" w:eastAsia="仿宋_GB2312" w:cs="Times New Roman"/>
          <w:b w:val="0"/>
          <w:bCs w:val="0"/>
          <w:color w:val="auto"/>
          <w:kern w:val="2"/>
          <w:sz w:val="32"/>
          <w:szCs w:val="32"/>
          <w:lang w:val="en-US" w:eastAsia="zh-CN" w:bidi="ar-SA"/>
        </w:rPr>
        <w:t>预算资金分配依据充分；资金分配额度合理，与项目单位或地方实际相适应。</w:t>
      </w:r>
    </w:p>
    <w:p>
      <w:pPr>
        <w:pStyle w:val="5"/>
        <w:spacing w:line="360" w:lineRule="auto"/>
        <w:rPr>
          <w:rFonts w:hint="eastAsia" w:ascii="仿宋_GB2312" w:eastAsia="仿宋_GB2312"/>
          <w:b w:val="0"/>
          <w:bCs w:val="0"/>
        </w:rPr>
      </w:pPr>
      <w:bookmarkStart w:id="13" w:name="_Toc68703839"/>
      <w:bookmarkStart w:id="14" w:name="_Toc68703840"/>
      <w:r>
        <w:rPr>
          <w:rFonts w:hint="eastAsia" w:ascii="仿宋_GB2312" w:eastAsia="仿宋_GB2312"/>
          <w:b w:val="0"/>
          <w:bCs w:val="0"/>
        </w:rPr>
        <w:t>（二）项目过程情况。</w:t>
      </w:r>
      <w:bookmarkEnd w:id="13"/>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1.资金到位率：</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预算资金1229.00万元，实际到位资金1229.00万元，资金到位率100.00%。</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2.预算执行率</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年初预算数1190.00万元，有年中追加资金39.00，全年预算数1229.00万元，全年执行数1229.00万元，预算执行率为100.00%。</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3.资金使用合规性</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本项目符合国家财经法规和财务管理制度以及有关专项资金管理办法的规定；资金的拨付有完整的审批程序和手续；符合项目预算批复或合同规定的用途；不存在截留、挤占、挪用、虚列支出等情况。</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4.管理制度健全性</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本项目已制定或具有相应的财务和业务管理制度；财务和业务管理制度合法、合规、完整。</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5.制度执行有效性</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本项目遵守相关法律法规和相关管理规定；项目调整及支出调整手续完备；项目合同书、验收报告、技术鉴定等资料齐全并及时归档；项目实施的人员条件、场地设备、信息支撑等落实到位。</w:t>
      </w:r>
    </w:p>
    <w:p>
      <w:pPr>
        <w:spacing w:line="360" w:lineRule="auto"/>
        <w:ind w:firstLine="602" w:firstLineChars="200"/>
        <w:rPr>
          <w:rFonts w:hint="eastAsia" w:ascii="仿宋" w:hAnsi="仿宋" w:eastAsia="仿宋" w:cs="仿宋"/>
          <w:b/>
          <w:bCs/>
          <w:i w:val="0"/>
          <w:iCs w:val="0"/>
          <w:caps w:val="0"/>
          <w:color w:val="333333"/>
          <w:spacing w:val="0"/>
          <w:sz w:val="30"/>
          <w:szCs w:val="30"/>
          <w:shd w:val="clear" w:fill="FFFFFF"/>
        </w:rPr>
      </w:pPr>
      <w:r>
        <w:rPr>
          <w:rFonts w:hint="eastAsia" w:ascii="仿宋" w:hAnsi="仿宋" w:eastAsia="仿宋" w:cs="仿宋"/>
          <w:b/>
          <w:bCs/>
          <w:i w:val="0"/>
          <w:iCs w:val="0"/>
          <w:caps w:val="0"/>
          <w:color w:val="333333"/>
          <w:spacing w:val="0"/>
          <w:sz w:val="30"/>
          <w:szCs w:val="30"/>
          <w:shd w:val="clear" w:fill="FFFFFF"/>
          <w:lang w:eastAsia="zh-CN"/>
        </w:rPr>
        <w:t>（二）</w:t>
      </w:r>
      <w:r>
        <w:rPr>
          <w:rFonts w:hint="eastAsia" w:ascii="仿宋" w:hAnsi="仿宋" w:eastAsia="仿宋" w:cs="仿宋"/>
          <w:b/>
          <w:bCs/>
          <w:i w:val="0"/>
          <w:iCs w:val="0"/>
          <w:caps w:val="0"/>
          <w:color w:val="333333"/>
          <w:spacing w:val="0"/>
          <w:sz w:val="30"/>
          <w:szCs w:val="30"/>
          <w:shd w:val="clear" w:fill="FFFFFF"/>
        </w:rPr>
        <w:t>项目产出情况。</w:t>
      </w:r>
      <w:bookmarkEnd w:id="14"/>
    </w:p>
    <w:p>
      <w:pPr>
        <w:spacing w:line="360" w:lineRule="auto"/>
        <w:ind w:firstLine="602" w:firstLineChars="200"/>
        <w:rPr>
          <w:rFonts w:hint="eastAsia" w:ascii="仿宋" w:hAnsi="仿宋" w:eastAsia="仿宋" w:cs="仿宋"/>
          <w:b/>
          <w:bCs/>
          <w:i w:val="0"/>
          <w:iCs w:val="0"/>
          <w:caps w:val="0"/>
          <w:color w:val="333333"/>
          <w:spacing w:val="0"/>
          <w:sz w:val="30"/>
          <w:szCs w:val="30"/>
          <w:shd w:val="clear" w:fill="FFFFFF"/>
          <w:lang w:eastAsia="zh-CN"/>
        </w:rPr>
      </w:pPr>
      <w:r>
        <w:rPr>
          <w:rFonts w:hint="eastAsia" w:ascii="仿宋" w:hAnsi="仿宋" w:eastAsia="仿宋" w:cs="仿宋"/>
          <w:b/>
          <w:bCs/>
          <w:i w:val="0"/>
          <w:iCs w:val="0"/>
          <w:caps w:val="0"/>
          <w:color w:val="333333"/>
          <w:spacing w:val="0"/>
          <w:sz w:val="30"/>
          <w:szCs w:val="30"/>
          <w:shd w:val="clear" w:fill="FFFFFF"/>
          <w:lang w:val="en-US" w:eastAsia="zh-CN"/>
        </w:rPr>
        <w:t>1.</w:t>
      </w:r>
      <w:r>
        <w:rPr>
          <w:rFonts w:hint="eastAsia" w:ascii="仿宋" w:hAnsi="仿宋" w:eastAsia="仿宋" w:cs="仿宋"/>
          <w:b/>
          <w:bCs/>
          <w:i w:val="0"/>
          <w:iCs w:val="0"/>
          <w:caps w:val="0"/>
          <w:color w:val="333333"/>
          <w:spacing w:val="0"/>
          <w:sz w:val="30"/>
          <w:szCs w:val="30"/>
          <w:shd w:val="clear" w:fill="FFFFFF"/>
          <w:lang w:eastAsia="zh-CN"/>
        </w:rPr>
        <w:t>数量指标：</w:t>
      </w:r>
    </w:p>
    <w:p>
      <w:pPr>
        <w:spacing w:line="360" w:lineRule="auto"/>
        <w:ind w:firstLine="600" w:firstLineChars="200"/>
        <w:rPr>
          <w:rFonts w:hint="eastAsia" w:ascii="仿宋" w:hAnsi="仿宋" w:eastAsia="仿宋" w:cs="仿宋"/>
          <w:b/>
          <w:bCs/>
          <w:i w:val="0"/>
          <w:iCs w:val="0"/>
          <w:caps w:val="0"/>
          <w:color w:val="auto"/>
          <w:spacing w:val="0"/>
          <w:sz w:val="30"/>
          <w:szCs w:val="30"/>
          <w:shd w:val="clear" w:fill="FFFFFF"/>
          <w:lang w:eastAsia="zh-CN"/>
        </w:rPr>
      </w:pPr>
      <w:r>
        <w:rPr>
          <w:rFonts w:hint="eastAsia"/>
          <w:color w:val="auto"/>
        </w:rPr>
        <w:t>指标1：</w:t>
      </w:r>
      <w:r>
        <w:rPr>
          <w:rFonts w:hint="eastAsia" w:ascii="仿宋" w:hAnsi="仿宋" w:eastAsia="仿宋" w:cs="仿宋"/>
          <w:b w:val="0"/>
          <w:bCs w:val="0"/>
          <w:i w:val="0"/>
          <w:iCs w:val="0"/>
          <w:caps w:val="0"/>
          <w:color w:val="auto"/>
          <w:spacing w:val="0"/>
          <w:sz w:val="30"/>
          <w:szCs w:val="30"/>
          <w:shd w:val="clear" w:fill="FFFFFF"/>
          <w:lang w:eastAsia="zh-CN"/>
        </w:rPr>
        <w:t>农机购置补贴机具数（台、套）</w:t>
      </w:r>
      <w:r>
        <w:rPr>
          <w:rFonts w:hint="eastAsia"/>
          <w:color w:val="auto"/>
        </w:rPr>
        <w:t>，指标值：</w:t>
      </w:r>
      <w:r>
        <w:rPr>
          <w:rFonts w:hint="eastAsia" w:ascii="仿宋" w:hAnsi="仿宋" w:eastAsia="仿宋" w:cs="仿宋"/>
          <w:b w:val="0"/>
          <w:bCs w:val="0"/>
          <w:i w:val="0"/>
          <w:iCs w:val="0"/>
          <w:caps w:val="0"/>
          <w:color w:val="auto"/>
          <w:spacing w:val="0"/>
          <w:sz w:val="30"/>
          <w:szCs w:val="30"/>
          <w:shd w:val="clear" w:fill="FFFFFF"/>
          <w:lang w:eastAsia="zh-CN"/>
        </w:rPr>
        <w:t>≥5</w:t>
      </w:r>
      <w:r>
        <w:rPr>
          <w:rFonts w:hint="eastAsia" w:ascii="仿宋" w:hAnsi="仿宋" w:eastAsia="仿宋" w:cs="仿宋"/>
          <w:b w:val="0"/>
          <w:bCs w:val="0"/>
          <w:i w:val="0"/>
          <w:iCs w:val="0"/>
          <w:caps w:val="0"/>
          <w:color w:val="auto"/>
          <w:spacing w:val="0"/>
          <w:sz w:val="30"/>
          <w:szCs w:val="30"/>
          <w:shd w:val="clear" w:fill="FFFFFF"/>
          <w:lang w:val="en-US" w:eastAsia="zh-CN"/>
        </w:rPr>
        <w:t>25</w:t>
      </w:r>
      <w:r>
        <w:rPr>
          <w:rFonts w:hint="eastAsia" w:ascii="仿宋" w:hAnsi="仿宋" w:eastAsia="仿宋" w:cs="仿宋"/>
          <w:b w:val="0"/>
          <w:bCs w:val="0"/>
          <w:i w:val="0"/>
          <w:iCs w:val="0"/>
          <w:caps w:val="0"/>
          <w:color w:val="auto"/>
          <w:spacing w:val="0"/>
          <w:sz w:val="30"/>
          <w:szCs w:val="30"/>
          <w:shd w:val="clear" w:fill="FFFFFF"/>
          <w:lang w:eastAsia="zh-CN"/>
        </w:rPr>
        <w:t>台（套）</w:t>
      </w:r>
      <w:r>
        <w:rPr>
          <w:rFonts w:hint="eastAsia"/>
          <w:color w:val="auto"/>
        </w:rPr>
        <w:t>，实际完成值</w:t>
      </w:r>
      <w:r>
        <w:rPr>
          <w:rFonts w:hint="eastAsia" w:ascii="仿宋" w:hAnsi="仿宋" w:eastAsia="仿宋" w:cs="仿宋"/>
          <w:b w:val="0"/>
          <w:bCs w:val="0"/>
          <w:i w:val="0"/>
          <w:iCs w:val="0"/>
          <w:caps w:val="0"/>
          <w:color w:val="auto"/>
          <w:spacing w:val="0"/>
          <w:sz w:val="30"/>
          <w:szCs w:val="30"/>
          <w:shd w:val="clear" w:fill="FFFFFF"/>
          <w:lang w:val="en-US" w:eastAsia="zh-CN"/>
        </w:rPr>
        <w:t>808</w:t>
      </w:r>
      <w:r>
        <w:rPr>
          <w:rFonts w:hint="eastAsia" w:ascii="仿宋" w:hAnsi="仿宋" w:eastAsia="仿宋" w:cs="仿宋"/>
          <w:b w:val="0"/>
          <w:bCs w:val="0"/>
          <w:i w:val="0"/>
          <w:iCs w:val="0"/>
          <w:caps w:val="0"/>
          <w:color w:val="auto"/>
          <w:spacing w:val="0"/>
          <w:sz w:val="30"/>
          <w:szCs w:val="30"/>
          <w:shd w:val="clear" w:fill="FFFFFF"/>
          <w:lang w:eastAsia="zh-CN"/>
        </w:rPr>
        <w:t>台（套）</w:t>
      </w:r>
      <w:r>
        <w:rPr>
          <w:rFonts w:hint="eastAsia"/>
          <w:color w:val="auto"/>
        </w:rPr>
        <w:t>，指标完成率</w:t>
      </w:r>
      <w:r>
        <w:rPr>
          <w:rFonts w:hint="eastAsia"/>
          <w:color w:val="auto"/>
          <w:lang w:val="en-US" w:eastAsia="zh-CN"/>
        </w:rPr>
        <w:t>153.9</w:t>
      </w:r>
      <w:r>
        <w:rPr>
          <w:rFonts w:hint="eastAsia"/>
          <w:color w:val="auto"/>
        </w:rPr>
        <w:t>%，偏差原因：</w:t>
      </w:r>
      <w:r>
        <w:rPr>
          <w:rFonts w:hint="eastAsia"/>
          <w:color w:val="auto"/>
          <w:lang w:eastAsia="zh-CN"/>
        </w:rPr>
        <w:t>购买</w:t>
      </w:r>
      <w:r>
        <w:rPr>
          <w:rFonts w:hint="eastAsia" w:ascii="仿宋" w:hAnsi="仿宋" w:eastAsia="仿宋" w:cs="仿宋"/>
          <w:b w:val="0"/>
          <w:bCs w:val="0"/>
          <w:i w:val="0"/>
          <w:iCs w:val="0"/>
          <w:caps w:val="0"/>
          <w:color w:val="auto"/>
          <w:spacing w:val="0"/>
          <w:sz w:val="30"/>
          <w:szCs w:val="30"/>
          <w:shd w:val="clear" w:fill="FFFFFF"/>
          <w:lang w:eastAsia="zh-CN"/>
        </w:rPr>
        <w:t>农具台数比预期多；</w:t>
      </w:r>
    </w:p>
    <w:p>
      <w:pPr>
        <w:spacing w:line="360" w:lineRule="auto"/>
        <w:ind w:firstLine="600" w:firstLineChars="200"/>
        <w:rPr>
          <w:rFonts w:hint="eastAsia" w:ascii="仿宋" w:hAnsi="仿宋" w:eastAsia="仿宋" w:cs="仿宋"/>
          <w:b/>
          <w:bCs/>
          <w:i w:val="0"/>
          <w:iCs w:val="0"/>
          <w:caps w:val="0"/>
          <w:color w:val="auto"/>
          <w:spacing w:val="0"/>
          <w:sz w:val="30"/>
          <w:szCs w:val="30"/>
          <w:shd w:val="clear" w:fill="FFFFFF"/>
          <w:lang w:eastAsia="zh-CN"/>
        </w:rPr>
      </w:pPr>
      <w:r>
        <w:rPr>
          <w:rFonts w:hint="eastAsia" w:ascii="仿宋" w:hAnsi="仿宋" w:eastAsia="仿宋" w:cs="仿宋"/>
          <w:b w:val="0"/>
          <w:bCs w:val="0"/>
          <w:i w:val="0"/>
          <w:iCs w:val="0"/>
          <w:caps w:val="0"/>
          <w:color w:val="auto"/>
          <w:spacing w:val="0"/>
          <w:sz w:val="30"/>
          <w:szCs w:val="30"/>
          <w:shd w:val="clear" w:fill="FFFFFF"/>
          <w:lang w:eastAsia="zh-CN"/>
        </w:rPr>
        <w:t>指标</w:t>
      </w:r>
      <w:r>
        <w:rPr>
          <w:rFonts w:hint="eastAsia" w:ascii="仿宋" w:hAnsi="仿宋" w:eastAsia="仿宋" w:cs="仿宋"/>
          <w:b w:val="0"/>
          <w:bCs w:val="0"/>
          <w:i w:val="0"/>
          <w:iCs w:val="0"/>
          <w:caps w:val="0"/>
          <w:color w:val="auto"/>
          <w:spacing w:val="0"/>
          <w:sz w:val="30"/>
          <w:szCs w:val="30"/>
          <w:shd w:val="clear" w:fill="FFFFFF"/>
          <w:lang w:val="en-US" w:eastAsia="zh-CN"/>
        </w:rPr>
        <w:t>2</w:t>
      </w:r>
      <w:r>
        <w:rPr>
          <w:rFonts w:hint="eastAsia" w:ascii="仿宋" w:hAnsi="仿宋" w:eastAsia="仿宋" w:cs="仿宋"/>
          <w:b w:val="0"/>
          <w:bCs w:val="0"/>
          <w:i w:val="0"/>
          <w:iCs w:val="0"/>
          <w:caps w:val="0"/>
          <w:color w:val="auto"/>
          <w:spacing w:val="0"/>
          <w:sz w:val="30"/>
          <w:szCs w:val="30"/>
          <w:shd w:val="clear" w:fill="FFFFFF"/>
          <w:lang w:eastAsia="zh-CN"/>
        </w:rPr>
        <w:t>：农机报废更新补贴机具台数（台、套）</w:t>
      </w:r>
      <w:r>
        <w:rPr>
          <w:rFonts w:hint="eastAsia"/>
          <w:color w:val="auto"/>
        </w:rPr>
        <w:t>，指标值：</w:t>
      </w:r>
      <w:r>
        <w:rPr>
          <w:rFonts w:hint="eastAsia" w:ascii="仿宋" w:hAnsi="仿宋" w:eastAsia="仿宋" w:cs="仿宋"/>
          <w:b w:val="0"/>
          <w:bCs w:val="0"/>
          <w:i w:val="0"/>
          <w:iCs w:val="0"/>
          <w:caps w:val="0"/>
          <w:color w:val="auto"/>
          <w:spacing w:val="0"/>
          <w:sz w:val="30"/>
          <w:szCs w:val="30"/>
          <w:shd w:val="clear" w:fill="FFFFFF"/>
          <w:lang w:eastAsia="zh-CN"/>
        </w:rPr>
        <w:t>≥</w:t>
      </w:r>
      <w:r>
        <w:rPr>
          <w:rFonts w:hint="eastAsia" w:ascii="仿宋" w:hAnsi="仿宋" w:eastAsia="仿宋" w:cs="仿宋"/>
          <w:b w:val="0"/>
          <w:bCs w:val="0"/>
          <w:i w:val="0"/>
          <w:iCs w:val="0"/>
          <w:caps w:val="0"/>
          <w:color w:val="auto"/>
          <w:spacing w:val="0"/>
          <w:sz w:val="30"/>
          <w:szCs w:val="30"/>
          <w:shd w:val="clear" w:fill="FFFFFF"/>
          <w:lang w:val="en-US" w:eastAsia="zh-CN"/>
        </w:rPr>
        <w:t>359</w:t>
      </w:r>
      <w:r>
        <w:rPr>
          <w:rFonts w:hint="eastAsia" w:ascii="仿宋" w:hAnsi="仿宋" w:eastAsia="仿宋" w:cs="仿宋"/>
          <w:b w:val="0"/>
          <w:bCs w:val="0"/>
          <w:i w:val="0"/>
          <w:iCs w:val="0"/>
          <w:caps w:val="0"/>
          <w:color w:val="auto"/>
          <w:spacing w:val="0"/>
          <w:sz w:val="30"/>
          <w:szCs w:val="30"/>
          <w:shd w:val="clear" w:fill="FFFFFF"/>
          <w:lang w:eastAsia="zh-CN"/>
        </w:rPr>
        <w:t>台（套）</w:t>
      </w:r>
      <w:r>
        <w:rPr>
          <w:rFonts w:hint="eastAsia"/>
          <w:color w:val="auto"/>
        </w:rPr>
        <w:t>，实际完成值</w:t>
      </w:r>
      <w:r>
        <w:rPr>
          <w:rFonts w:hint="eastAsia"/>
          <w:color w:val="auto"/>
          <w:lang w:val="en-US" w:eastAsia="zh-CN"/>
        </w:rPr>
        <w:t>395</w:t>
      </w:r>
      <w:r>
        <w:rPr>
          <w:rFonts w:hint="eastAsia" w:ascii="仿宋" w:hAnsi="仿宋" w:eastAsia="仿宋" w:cs="仿宋"/>
          <w:b w:val="0"/>
          <w:bCs w:val="0"/>
          <w:i w:val="0"/>
          <w:iCs w:val="0"/>
          <w:caps w:val="0"/>
          <w:color w:val="auto"/>
          <w:spacing w:val="0"/>
          <w:sz w:val="30"/>
          <w:szCs w:val="30"/>
          <w:shd w:val="clear" w:fill="FFFFFF"/>
          <w:lang w:eastAsia="zh-CN"/>
        </w:rPr>
        <w:t>台（套）</w:t>
      </w:r>
      <w:r>
        <w:rPr>
          <w:rFonts w:hint="eastAsia"/>
          <w:color w:val="auto"/>
        </w:rPr>
        <w:t>，指标完成率</w:t>
      </w:r>
      <w:r>
        <w:rPr>
          <w:rFonts w:hint="eastAsia"/>
          <w:color w:val="auto"/>
          <w:lang w:val="en-US" w:eastAsia="zh-CN"/>
        </w:rPr>
        <w:t>110.03</w:t>
      </w:r>
      <w:r>
        <w:rPr>
          <w:rFonts w:hint="eastAsia"/>
          <w:color w:val="auto"/>
        </w:rPr>
        <w:t>%，偏差原因：</w:t>
      </w:r>
      <w:r>
        <w:rPr>
          <w:rFonts w:hint="eastAsia"/>
          <w:color w:val="auto"/>
          <w:lang w:eastAsia="zh-CN"/>
        </w:rPr>
        <w:t>小马力农机具达到报废年限台数较多</w:t>
      </w:r>
      <w:r>
        <w:rPr>
          <w:rFonts w:hint="eastAsia" w:ascii="仿宋" w:hAnsi="仿宋" w:eastAsia="仿宋" w:cs="仿宋"/>
          <w:b w:val="0"/>
          <w:bCs w:val="0"/>
          <w:i w:val="0"/>
          <w:iCs w:val="0"/>
          <w:caps w:val="0"/>
          <w:color w:val="auto"/>
          <w:spacing w:val="0"/>
          <w:sz w:val="30"/>
          <w:szCs w:val="30"/>
          <w:shd w:val="clear" w:fill="FFFFFF"/>
          <w:lang w:eastAsia="zh-CN"/>
        </w:rPr>
        <w:t>；</w:t>
      </w:r>
    </w:p>
    <w:p>
      <w:pPr>
        <w:spacing w:line="360" w:lineRule="auto"/>
        <w:ind w:firstLine="600" w:firstLineChars="200"/>
        <w:rPr>
          <w:rFonts w:hint="eastAsia" w:eastAsia="仿宋_GB2312"/>
          <w:color w:val="auto"/>
          <w:lang w:eastAsia="zh-CN"/>
        </w:rPr>
      </w:pPr>
      <w:r>
        <w:rPr>
          <w:rFonts w:hint="eastAsia" w:ascii="仿宋" w:hAnsi="仿宋" w:eastAsia="仿宋" w:cs="仿宋"/>
          <w:b w:val="0"/>
          <w:bCs w:val="0"/>
          <w:i w:val="0"/>
          <w:iCs w:val="0"/>
          <w:caps w:val="0"/>
          <w:color w:val="auto"/>
          <w:spacing w:val="0"/>
          <w:sz w:val="30"/>
          <w:szCs w:val="30"/>
          <w:shd w:val="clear" w:fill="FFFFFF"/>
          <w:lang w:eastAsia="zh-CN"/>
        </w:rPr>
        <w:t>指标</w:t>
      </w:r>
      <w:r>
        <w:rPr>
          <w:rFonts w:hint="eastAsia" w:ascii="仿宋" w:hAnsi="仿宋" w:eastAsia="仿宋" w:cs="仿宋"/>
          <w:b w:val="0"/>
          <w:bCs w:val="0"/>
          <w:i w:val="0"/>
          <w:iCs w:val="0"/>
          <w:caps w:val="0"/>
          <w:color w:val="auto"/>
          <w:spacing w:val="0"/>
          <w:sz w:val="30"/>
          <w:szCs w:val="30"/>
          <w:shd w:val="clear" w:fill="FFFFFF"/>
          <w:lang w:val="en-US" w:eastAsia="zh-CN"/>
        </w:rPr>
        <w:t>3</w:t>
      </w:r>
      <w:r>
        <w:rPr>
          <w:rFonts w:hint="eastAsia" w:ascii="仿宋" w:hAnsi="仿宋" w:eastAsia="仿宋" w:cs="仿宋"/>
          <w:b w:val="0"/>
          <w:bCs w:val="0"/>
          <w:i w:val="0"/>
          <w:iCs w:val="0"/>
          <w:caps w:val="0"/>
          <w:color w:val="auto"/>
          <w:spacing w:val="0"/>
          <w:sz w:val="30"/>
          <w:szCs w:val="30"/>
          <w:shd w:val="clear" w:fill="FFFFFF"/>
          <w:lang w:eastAsia="zh-CN"/>
        </w:rPr>
        <w:t>：受益农户户数（户），</w:t>
      </w:r>
      <w:r>
        <w:rPr>
          <w:rFonts w:hint="eastAsia"/>
          <w:color w:val="auto"/>
        </w:rPr>
        <w:t>指标值：</w:t>
      </w:r>
      <w:r>
        <w:rPr>
          <w:rFonts w:hint="eastAsia" w:ascii="仿宋" w:hAnsi="仿宋" w:eastAsia="仿宋" w:cs="仿宋"/>
          <w:b w:val="0"/>
          <w:bCs w:val="0"/>
          <w:i w:val="0"/>
          <w:iCs w:val="0"/>
          <w:caps w:val="0"/>
          <w:color w:val="auto"/>
          <w:spacing w:val="0"/>
          <w:sz w:val="30"/>
          <w:szCs w:val="30"/>
          <w:shd w:val="clear" w:fill="FFFFFF"/>
          <w:lang w:eastAsia="zh-CN"/>
        </w:rPr>
        <w:t>≥</w:t>
      </w:r>
      <w:r>
        <w:rPr>
          <w:rFonts w:hint="eastAsia" w:ascii="仿宋" w:hAnsi="仿宋" w:eastAsia="仿宋" w:cs="仿宋"/>
          <w:b w:val="0"/>
          <w:bCs w:val="0"/>
          <w:i w:val="0"/>
          <w:iCs w:val="0"/>
          <w:caps w:val="0"/>
          <w:color w:val="auto"/>
          <w:spacing w:val="0"/>
          <w:sz w:val="30"/>
          <w:szCs w:val="30"/>
          <w:shd w:val="clear" w:fill="FFFFFF"/>
          <w:lang w:val="en-US" w:eastAsia="zh-CN"/>
        </w:rPr>
        <w:t>800（户）</w:t>
      </w:r>
      <w:r>
        <w:rPr>
          <w:rFonts w:hint="eastAsia"/>
          <w:color w:val="auto"/>
        </w:rPr>
        <w:t>，实际完成值</w:t>
      </w:r>
      <w:r>
        <w:rPr>
          <w:rFonts w:hint="eastAsia"/>
          <w:color w:val="auto"/>
          <w:lang w:val="en-US" w:eastAsia="zh-CN"/>
        </w:rPr>
        <w:t>801</w:t>
      </w:r>
      <w:r>
        <w:rPr>
          <w:rFonts w:hint="eastAsia" w:ascii="仿宋" w:hAnsi="仿宋" w:eastAsia="仿宋" w:cs="仿宋"/>
          <w:b w:val="0"/>
          <w:bCs w:val="0"/>
          <w:i w:val="0"/>
          <w:iCs w:val="0"/>
          <w:caps w:val="0"/>
          <w:color w:val="auto"/>
          <w:spacing w:val="0"/>
          <w:sz w:val="30"/>
          <w:szCs w:val="30"/>
          <w:shd w:val="clear" w:fill="FFFFFF"/>
          <w:lang w:eastAsia="zh-CN"/>
        </w:rPr>
        <w:t>（户）</w:t>
      </w:r>
      <w:r>
        <w:rPr>
          <w:rFonts w:hint="eastAsia"/>
          <w:color w:val="auto"/>
        </w:rPr>
        <w:t>，指标完成率</w:t>
      </w:r>
      <w:r>
        <w:rPr>
          <w:rFonts w:hint="eastAsia"/>
          <w:color w:val="auto"/>
          <w:lang w:val="en-US" w:eastAsia="zh-CN"/>
        </w:rPr>
        <w:t>100.13</w:t>
      </w:r>
      <w:r>
        <w:rPr>
          <w:rFonts w:hint="eastAsia"/>
          <w:color w:val="auto"/>
        </w:rPr>
        <w:t>%</w:t>
      </w:r>
      <w:r>
        <w:rPr>
          <w:rFonts w:hint="eastAsia"/>
          <w:color w:val="auto"/>
          <w:lang w:eastAsia="zh-CN"/>
        </w:rPr>
        <w:t>；</w:t>
      </w:r>
    </w:p>
    <w:p>
      <w:pPr>
        <w:spacing w:line="360" w:lineRule="auto"/>
        <w:ind w:firstLine="602" w:firstLineChars="200"/>
        <w:rPr>
          <w:rFonts w:hint="eastAsia" w:ascii="仿宋" w:hAnsi="仿宋" w:eastAsia="仿宋" w:cs="仿宋"/>
          <w:b/>
          <w:bCs/>
          <w:i w:val="0"/>
          <w:iCs w:val="0"/>
          <w:caps w:val="0"/>
          <w:color w:val="auto"/>
          <w:spacing w:val="0"/>
          <w:sz w:val="30"/>
          <w:szCs w:val="30"/>
          <w:shd w:val="clear" w:fill="FFFFFF"/>
          <w:lang w:eastAsia="zh-CN"/>
        </w:rPr>
      </w:pPr>
      <w:r>
        <w:rPr>
          <w:rFonts w:hint="eastAsia" w:ascii="仿宋" w:hAnsi="仿宋" w:eastAsia="仿宋" w:cs="仿宋"/>
          <w:b/>
          <w:bCs/>
          <w:i w:val="0"/>
          <w:iCs w:val="0"/>
          <w:caps w:val="0"/>
          <w:color w:val="auto"/>
          <w:spacing w:val="0"/>
          <w:sz w:val="30"/>
          <w:szCs w:val="30"/>
          <w:shd w:val="clear" w:fill="FFFFFF"/>
          <w:lang w:val="en-US" w:eastAsia="zh-CN"/>
        </w:rPr>
        <w:t>2.</w:t>
      </w:r>
      <w:r>
        <w:rPr>
          <w:rFonts w:hint="eastAsia" w:ascii="仿宋" w:hAnsi="仿宋" w:eastAsia="仿宋" w:cs="仿宋"/>
          <w:b/>
          <w:bCs/>
          <w:i w:val="0"/>
          <w:iCs w:val="0"/>
          <w:caps w:val="0"/>
          <w:color w:val="auto"/>
          <w:spacing w:val="0"/>
          <w:sz w:val="30"/>
          <w:szCs w:val="30"/>
          <w:shd w:val="clear" w:fill="FFFFFF"/>
          <w:lang w:eastAsia="zh-CN"/>
        </w:rPr>
        <w:t>质量指标。</w:t>
      </w:r>
    </w:p>
    <w:p>
      <w:pPr>
        <w:spacing w:line="360" w:lineRule="auto"/>
        <w:ind w:firstLine="600" w:firstLineChars="200"/>
        <w:rPr>
          <w:rFonts w:hint="eastAsia"/>
          <w:color w:val="auto"/>
          <w:lang w:eastAsia="zh-CN"/>
        </w:rPr>
      </w:pPr>
      <w:r>
        <w:rPr>
          <w:rFonts w:hint="eastAsia" w:ascii="仿宋" w:hAnsi="仿宋" w:eastAsia="仿宋" w:cs="仿宋"/>
          <w:b w:val="0"/>
          <w:bCs w:val="0"/>
          <w:i w:val="0"/>
          <w:iCs w:val="0"/>
          <w:caps w:val="0"/>
          <w:color w:val="auto"/>
          <w:spacing w:val="0"/>
          <w:sz w:val="30"/>
          <w:szCs w:val="30"/>
          <w:shd w:val="clear" w:fill="FFFFFF"/>
          <w:lang w:eastAsia="zh-CN"/>
        </w:rPr>
        <w:t>指标1：保障粮食安全能力，</w:t>
      </w:r>
      <w:r>
        <w:rPr>
          <w:rFonts w:hint="eastAsia"/>
          <w:color w:val="auto"/>
        </w:rPr>
        <w:t>指标值：</w:t>
      </w:r>
      <w:r>
        <w:rPr>
          <w:rFonts w:hint="eastAsia"/>
          <w:color w:val="auto"/>
          <w:lang w:eastAsia="zh-CN"/>
        </w:rPr>
        <w:t>明显提升</w:t>
      </w:r>
      <w:r>
        <w:rPr>
          <w:rFonts w:hint="eastAsia"/>
          <w:color w:val="auto"/>
        </w:rPr>
        <w:t>，实际完成值</w:t>
      </w:r>
      <w:r>
        <w:rPr>
          <w:rFonts w:hint="eastAsia"/>
          <w:color w:val="auto"/>
          <w:lang w:eastAsia="zh-CN"/>
        </w:rPr>
        <w:t>明显提升</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ascii="仿宋" w:hAnsi="仿宋" w:eastAsia="仿宋_GB2312" w:cs="仿宋"/>
          <w:b w:val="0"/>
          <w:bCs w:val="0"/>
          <w:i w:val="0"/>
          <w:iCs w:val="0"/>
          <w:caps w:val="0"/>
          <w:color w:val="auto"/>
          <w:spacing w:val="0"/>
          <w:sz w:val="30"/>
          <w:szCs w:val="30"/>
          <w:shd w:val="clear" w:fill="FFFFFF"/>
          <w:lang w:val="en-US" w:eastAsia="zh-CN"/>
        </w:rPr>
      </w:pPr>
      <w:r>
        <w:rPr>
          <w:rFonts w:hint="eastAsia" w:ascii="仿宋" w:hAnsi="仿宋" w:eastAsia="仿宋" w:cs="仿宋"/>
          <w:b w:val="0"/>
          <w:bCs w:val="0"/>
          <w:i w:val="0"/>
          <w:iCs w:val="0"/>
          <w:caps w:val="0"/>
          <w:color w:val="auto"/>
          <w:spacing w:val="0"/>
          <w:sz w:val="30"/>
          <w:szCs w:val="30"/>
          <w:shd w:val="clear" w:fill="FFFFFF"/>
          <w:lang w:eastAsia="zh-CN"/>
        </w:rPr>
        <w:t>指标</w:t>
      </w:r>
      <w:r>
        <w:rPr>
          <w:rFonts w:hint="eastAsia" w:ascii="仿宋" w:hAnsi="仿宋" w:eastAsia="仿宋" w:cs="仿宋"/>
          <w:b w:val="0"/>
          <w:bCs w:val="0"/>
          <w:i w:val="0"/>
          <w:iCs w:val="0"/>
          <w:caps w:val="0"/>
          <w:color w:val="auto"/>
          <w:spacing w:val="0"/>
          <w:sz w:val="30"/>
          <w:szCs w:val="30"/>
          <w:shd w:val="clear" w:fill="FFFFFF"/>
          <w:lang w:val="en-US" w:eastAsia="zh-CN"/>
        </w:rPr>
        <w:t>2</w:t>
      </w:r>
      <w:r>
        <w:rPr>
          <w:rFonts w:hint="eastAsia" w:ascii="仿宋" w:hAnsi="仿宋" w:eastAsia="仿宋" w:cs="仿宋"/>
          <w:b w:val="0"/>
          <w:bCs w:val="0"/>
          <w:i w:val="0"/>
          <w:iCs w:val="0"/>
          <w:caps w:val="0"/>
          <w:color w:val="auto"/>
          <w:spacing w:val="0"/>
          <w:sz w:val="30"/>
          <w:szCs w:val="30"/>
          <w:shd w:val="clear" w:fill="FFFFFF"/>
          <w:lang w:eastAsia="zh-CN"/>
        </w:rPr>
        <w:t>：</w:t>
      </w:r>
      <w:r>
        <w:rPr>
          <w:rFonts w:hint="eastAsia" w:ascii="仿宋" w:hAnsi="仿宋" w:eastAsia="仿宋" w:cs="仿宋"/>
          <w:b w:val="0"/>
          <w:bCs w:val="0"/>
          <w:i w:val="0"/>
          <w:iCs w:val="0"/>
          <w:caps w:val="0"/>
          <w:color w:val="auto"/>
          <w:spacing w:val="0"/>
          <w:sz w:val="30"/>
          <w:szCs w:val="30"/>
          <w:shd w:val="clear" w:fill="FFFFFF"/>
          <w:lang w:val="en-US" w:eastAsia="zh-CN"/>
        </w:rPr>
        <w:t>农作物耕种收综合机械化率</w:t>
      </w:r>
      <w:r>
        <w:rPr>
          <w:rFonts w:hint="eastAsia"/>
          <w:color w:val="auto"/>
        </w:rPr>
        <w:t>指标值：</w:t>
      </w:r>
      <w:r>
        <w:rPr>
          <w:rFonts w:hint="eastAsia" w:ascii="仿宋" w:hAnsi="仿宋" w:eastAsia="仿宋" w:cs="仿宋"/>
          <w:b w:val="0"/>
          <w:bCs w:val="0"/>
          <w:i w:val="0"/>
          <w:iCs w:val="0"/>
          <w:caps w:val="0"/>
          <w:color w:val="auto"/>
          <w:spacing w:val="0"/>
          <w:sz w:val="30"/>
          <w:szCs w:val="30"/>
          <w:shd w:val="clear" w:fill="FFFFFF"/>
          <w:lang w:eastAsia="zh-CN"/>
        </w:rPr>
        <w:t>≥9</w:t>
      </w:r>
      <w:r>
        <w:rPr>
          <w:rFonts w:hint="eastAsia" w:ascii="仿宋" w:hAnsi="仿宋" w:eastAsia="仿宋" w:cs="仿宋"/>
          <w:b w:val="0"/>
          <w:bCs w:val="0"/>
          <w:i w:val="0"/>
          <w:iCs w:val="0"/>
          <w:caps w:val="0"/>
          <w:color w:val="auto"/>
          <w:spacing w:val="0"/>
          <w:sz w:val="30"/>
          <w:szCs w:val="30"/>
          <w:shd w:val="clear" w:fill="FFFFFF"/>
          <w:lang w:val="en-US" w:eastAsia="zh-CN"/>
        </w:rPr>
        <w:t>5</w:t>
      </w:r>
      <w:r>
        <w:rPr>
          <w:rFonts w:hint="eastAsia" w:ascii="仿宋" w:hAnsi="仿宋" w:eastAsia="仿宋" w:cs="仿宋"/>
          <w:b w:val="0"/>
          <w:bCs w:val="0"/>
          <w:i w:val="0"/>
          <w:iCs w:val="0"/>
          <w:caps w:val="0"/>
          <w:color w:val="auto"/>
          <w:spacing w:val="0"/>
          <w:sz w:val="30"/>
          <w:szCs w:val="30"/>
          <w:shd w:val="clear" w:fill="FFFFFF"/>
          <w:lang w:eastAsia="zh-CN"/>
        </w:rPr>
        <w:t>%</w:t>
      </w:r>
      <w:r>
        <w:rPr>
          <w:rFonts w:hint="eastAsia"/>
          <w:color w:val="auto"/>
        </w:rPr>
        <w:t>，实际完成</w:t>
      </w:r>
      <w:r>
        <w:rPr>
          <w:rFonts w:hint="eastAsia"/>
          <w:color w:val="auto"/>
          <w:lang w:val="en-US" w:eastAsia="zh-CN"/>
        </w:rPr>
        <w:t>98%</w:t>
      </w:r>
      <w:r>
        <w:rPr>
          <w:rFonts w:hint="eastAsia"/>
          <w:color w:val="auto"/>
        </w:rPr>
        <w:t>，指标完成率</w:t>
      </w:r>
      <w:r>
        <w:rPr>
          <w:rFonts w:hint="eastAsia"/>
          <w:color w:val="auto"/>
          <w:lang w:val="en-US" w:eastAsia="zh-CN"/>
        </w:rPr>
        <w:t>103.16</w:t>
      </w:r>
      <w:r>
        <w:rPr>
          <w:rFonts w:hint="eastAsia"/>
          <w:color w:val="auto"/>
        </w:rPr>
        <w:t>%</w:t>
      </w:r>
      <w:r>
        <w:rPr>
          <w:rFonts w:hint="eastAsia"/>
          <w:color w:val="auto"/>
          <w:lang w:val="en-US" w:eastAsia="zh-CN"/>
        </w:rPr>
        <w:t>;</w:t>
      </w:r>
    </w:p>
    <w:p>
      <w:pPr>
        <w:spacing w:line="360" w:lineRule="auto"/>
        <w:ind w:firstLine="602" w:firstLineChars="200"/>
        <w:rPr>
          <w:rFonts w:hint="eastAsia" w:ascii="仿宋" w:hAnsi="仿宋" w:eastAsia="仿宋" w:cs="仿宋"/>
          <w:b/>
          <w:bCs/>
          <w:i w:val="0"/>
          <w:iCs w:val="0"/>
          <w:caps w:val="0"/>
          <w:color w:val="auto"/>
          <w:spacing w:val="0"/>
          <w:sz w:val="30"/>
          <w:szCs w:val="30"/>
          <w:shd w:val="clear" w:fill="FFFFFF"/>
          <w:lang w:eastAsia="zh-CN"/>
        </w:rPr>
      </w:pPr>
      <w:r>
        <w:rPr>
          <w:rFonts w:hint="eastAsia" w:ascii="仿宋" w:hAnsi="仿宋" w:eastAsia="仿宋" w:cs="仿宋"/>
          <w:b/>
          <w:bCs/>
          <w:i w:val="0"/>
          <w:iCs w:val="0"/>
          <w:caps w:val="0"/>
          <w:color w:val="auto"/>
          <w:spacing w:val="0"/>
          <w:sz w:val="30"/>
          <w:szCs w:val="30"/>
          <w:shd w:val="clear" w:fill="FFFFFF"/>
          <w:lang w:val="en-US" w:eastAsia="zh-CN"/>
        </w:rPr>
        <w:t>3.</w:t>
      </w:r>
      <w:r>
        <w:rPr>
          <w:rFonts w:hint="eastAsia" w:ascii="仿宋" w:hAnsi="仿宋" w:eastAsia="仿宋" w:cs="仿宋"/>
          <w:b/>
          <w:bCs/>
          <w:i w:val="0"/>
          <w:iCs w:val="0"/>
          <w:caps w:val="0"/>
          <w:color w:val="auto"/>
          <w:spacing w:val="0"/>
          <w:sz w:val="30"/>
          <w:szCs w:val="30"/>
          <w:shd w:val="clear" w:fill="FFFFFF"/>
          <w:lang w:eastAsia="zh-CN"/>
        </w:rPr>
        <w:t>时效指标：</w:t>
      </w:r>
    </w:p>
    <w:p>
      <w:pPr>
        <w:spacing w:line="360" w:lineRule="auto"/>
        <w:ind w:firstLine="600" w:firstLineChars="200"/>
        <w:rPr>
          <w:rFonts w:hint="eastAsia"/>
          <w:color w:val="auto"/>
          <w:lang w:eastAsia="zh-CN"/>
        </w:rPr>
      </w:pPr>
      <w:bookmarkStart w:id="15" w:name="_Toc68703841"/>
      <w:r>
        <w:rPr>
          <w:rFonts w:hint="eastAsia" w:ascii="仿宋" w:hAnsi="仿宋" w:eastAsia="仿宋" w:cs="仿宋"/>
          <w:b w:val="0"/>
          <w:bCs w:val="0"/>
          <w:i w:val="0"/>
          <w:iCs w:val="0"/>
          <w:caps w:val="0"/>
          <w:color w:val="auto"/>
          <w:spacing w:val="0"/>
          <w:sz w:val="30"/>
          <w:szCs w:val="30"/>
          <w:shd w:val="clear" w:fill="FFFFFF"/>
          <w:lang w:eastAsia="zh-CN"/>
        </w:rPr>
        <w:t>指标1：农机购置补贴年度资金兑付率，</w:t>
      </w:r>
      <w:r>
        <w:rPr>
          <w:rFonts w:hint="eastAsia"/>
          <w:color w:val="auto"/>
        </w:rPr>
        <w:t>指标值：</w:t>
      </w:r>
      <w:r>
        <w:rPr>
          <w:rFonts w:hint="eastAsia" w:ascii="仿宋" w:hAnsi="仿宋" w:eastAsia="仿宋" w:cs="仿宋"/>
          <w:b w:val="0"/>
          <w:bCs w:val="0"/>
          <w:i w:val="0"/>
          <w:iCs w:val="0"/>
          <w:caps w:val="0"/>
          <w:color w:val="auto"/>
          <w:spacing w:val="0"/>
          <w:sz w:val="30"/>
          <w:szCs w:val="30"/>
          <w:shd w:val="clear" w:fill="FFFFFF"/>
          <w:lang w:eastAsia="zh-CN"/>
        </w:rPr>
        <w:t>≥9</w:t>
      </w:r>
      <w:r>
        <w:rPr>
          <w:rFonts w:hint="eastAsia" w:ascii="仿宋" w:hAnsi="仿宋" w:eastAsia="仿宋" w:cs="仿宋"/>
          <w:b w:val="0"/>
          <w:bCs w:val="0"/>
          <w:i w:val="0"/>
          <w:iCs w:val="0"/>
          <w:caps w:val="0"/>
          <w:color w:val="auto"/>
          <w:spacing w:val="0"/>
          <w:sz w:val="30"/>
          <w:szCs w:val="30"/>
          <w:shd w:val="clear" w:fill="FFFFFF"/>
          <w:lang w:val="en-US" w:eastAsia="zh-CN"/>
        </w:rPr>
        <w:t>5</w:t>
      </w:r>
      <w:r>
        <w:rPr>
          <w:rFonts w:hint="eastAsia" w:ascii="仿宋" w:hAnsi="仿宋" w:eastAsia="仿宋" w:cs="仿宋"/>
          <w:b w:val="0"/>
          <w:bCs w:val="0"/>
          <w:i w:val="0"/>
          <w:iCs w:val="0"/>
          <w:caps w:val="0"/>
          <w:color w:val="auto"/>
          <w:spacing w:val="0"/>
          <w:sz w:val="30"/>
          <w:szCs w:val="30"/>
          <w:shd w:val="clear" w:fill="FFFFFF"/>
          <w:lang w:eastAsia="zh-CN"/>
        </w:rPr>
        <w:t>%</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105.26</w:t>
      </w:r>
      <w:r>
        <w:rPr>
          <w:rFonts w:hint="eastAsia"/>
          <w:color w:val="auto"/>
        </w:rPr>
        <w:t>%</w:t>
      </w:r>
      <w:r>
        <w:rPr>
          <w:rFonts w:hint="eastAsia"/>
          <w:color w:val="auto"/>
          <w:lang w:eastAsia="zh-CN"/>
        </w:rPr>
        <w:t>；</w:t>
      </w:r>
    </w:p>
    <w:p>
      <w:pPr>
        <w:spacing w:line="360" w:lineRule="auto"/>
        <w:ind w:firstLine="600" w:firstLineChars="200"/>
        <w:rPr>
          <w:rFonts w:hint="eastAsia"/>
          <w:color w:val="auto"/>
          <w:lang w:eastAsia="zh-CN"/>
        </w:rPr>
      </w:pPr>
      <w:r>
        <w:rPr>
          <w:rFonts w:hint="eastAsia" w:ascii="仿宋" w:hAnsi="仿宋" w:eastAsia="仿宋" w:cs="仿宋"/>
          <w:b w:val="0"/>
          <w:bCs w:val="0"/>
          <w:i w:val="0"/>
          <w:iCs w:val="0"/>
          <w:caps w:val="0"/>
          <w:color w:val="auto"/>
          <w:spacing w:val="0"/>
          <w:sz w:val="30"/>
          <w:szCs w:val="30"/>
          <w:shd w:val="clear" w:fill="FFFFFF"/>
          <w:lang w:eastAsia="zh-CN"/>
        </w:rPr>
        <w:t>指标</w:t>
      </w:r>
      <w:r>
        <w:rPr>
          <w:rFonts w:hint="eastAsia" w:ascii="仿宋" w:hAnsi="仿宋" w:eastAsia="仿宋" w:cs="仿宋"/>
          <w:b w:val="0"/>
          <w:bCs w:val="0"/>
          <w:i w:val="0"/>
          <w:iCs w:val="0"/>
          <w:caps w:val="0"/>
          <w:color w:val="auto"/>
          <w:spacing w:val="0"/>
          <w:sz w:val="30"/>
          <w:szCs w:val="30"/>
          <w:shd w:val="clear" w:fill="FFFFFF"/>
          <w:lang w:val="en-US" w:eastAsia="zh-CN"/>
        </w:rPr>
        <w:t>2</w:t>
      </w:r>
      <w:r>
        <w:rPr>
          <w:rFonts w:hint="eastAsia" w:ascii="仿宋" w:hAnsi="仿宋" w:eastAsia="仿宋" w:cs="仿宋"/>
          <w:b w:val="0"/>
          <w:bCs w:val="0"/>
          <w:i w:val="0"/>
          <w:iCs w:val="0"/>
          <w:caps w:val="0"/>
          <w:color w:val="auto"/>
          <w:spacing w:val="0"/>
          <w:sz w:val="30"/>
          <w:szCs w:val="30"/>
          <w:shd w:val="clear" w:fill="FFFFFF"/>
          <w:lang w:eastAsia="zh-CN"/>
        </w:rPr>
        <w:t>：购置补贴发放及时性，</w:t>
      </w:r>
      <w:r>
        <w:rPr>
          <w:rFonts w:hint="eastAsia"/>
          <w:color w:val="auto"/>
        </w:rPr>
        <w:t>指标值：</w:t>
      </w:r>
      <w:r>
        <w:rPr>
          <w:rFonts w:hint="eastAsia" w:ascii="仿宋" w:hAnsi="仿宋" w:eastAsia="仿宋" w:cs="仿宋"/>
          <w:b w:val="0"/>
          <w:bCs w:val="0"/>
          <w:i w:val="0"/>
          <w:iCs w:val="0"/>
          <w:caps w:val="0"/>
          <w:color w:val="auto"/>
          <w:spacing w:val="0"/>
          <w:sz w:val="30"/>
          <w:szCs w:val="30"/>
          <w:shd w:val="clear" w:fill="FFFFFF"/>
          <w:lang w:eastAsia="zh-CN"/>
        </w:rPr>
        <w:t>≥9</w:t>
      </w:r>
      <w:r>
        <w:rPr>
          <w:rFonts w:hint="eastAsia" w:ascii="仿宋" w:hAnsi="仿宋" w:eastAsia="仿宋" w:cs="仿宋"/>
          <w:b w:val="0"/>
          <w:bCs w:val="0"/>
          <w:i w:val="0"/>
          <w:iCs w:val="0"/>
          <w:caps w:val="0"/>
          <w:color w:val="auto"/>
          <w:spacing w:val="0"/>
          <w:sz w:val="30"/>
          <w:szCs w:val="30"/>
          <w:shd w:val="clear" w:fill="FFFFFF"/>
          <w:lang w:val="en-US" w:eastAsia="zh-CN"/>
        </w:rPr>
        <w:t>5</w:t>
      </w:r>
      <w:r>
        <w:rPr>
          <w:rFonts w:hint="eastAsia" w:ascii="仿宋" w:hAnsi="仿宋" w:eastAsia="仿宋" w:cs="仿宋"/>
          <w:b w:val="0"/>
          <w:bCs w:val="0"/>
          <w:i w:val="0"/>
          <w:iCs w:val="0"/>
          <w:caps w:val="0"/>
          <w:color w:val="auto"/>
          <w:spacing w:val="0"/>
          <w:sz w:val="30"/>
          <w:szCs w:val="30"/>
          <w:shd w:val="clear" w:fill="FFFFFF"/>
          <w:lang w:eastAsia="zh-CN"/>
        </w:rPr>
        <w:t>%</w:t>
      </w:r>
      <w:r>
        <w:rPr>
          <w:rFonts w:hint="eastAsia"/>
          <w:color w:val="auto"/>
        </w:rPr>
        <w:t>，实际完成</w:t>
      </w:r>
      <w:r>
        <w:rPr>
          <w:rFonts w:hint="eastAsia"/>
          <w:color w:val="auto"/>
          <w:lang w:val="en-US" w:eastAsia="zh-CN"/>
        </w:rPr>
        <w:t>100%</w:t>
      </w:r>
      <w:r>
        <w:rPr>
          <w:rFonts w:hint="eastAsia"/>
          <w:color w:val="auto"/>
        </w:rPr>
        <w:t>，指标完成率</w:t>
      </w:r>
      <w:r>
        <w:rPr>
          <w:rFonts w:hint="eastAsia"/>
          <w:color w:val="auto"/>
          <w:lang w:val="en-US" w:eastAsia="zh-CN"/>
        </w:rPr>
        <w:t>105.26</w:t>
      </w:r>
      <w:r>
        <w:rPr>
          <w:rFonts w:hint="eastAsia"/>
          <w:color w:val="auto"/>
        </w:rPr>
        <w:t>%</w:t>
      </w:r>
      <w:r>
        <w:rPr>
          <w:rFonts w:hint="eastAsia"/>
          <w:color w:val="auto"/>
          <w:lang w:eastAsia="zh-CN"/>
        </w:rPr>
        <w:t>；</w:t>
      </w:r>
    </w:p>
    <w:p>
      <w:pPr>
        <w:spacing w:line="360" w:lineRule="auto"/>
        <w:ind w:firstLine="602" w:firstLineChars="200"/>
        <w:rPr>
          <w:rFonts w:hint="eastAsia" w:ascii="仿宋" w:hAnsi="仿宋" w:eastAsia="仿宋" w:cs="仿宋"/>
          <w:b w:val="0"/>
          <w:bCs w:val="0"/>
          <w:i w:val="0"/>
          <w:iCs w:val="0"/>
          <w:caps w:val="0"/>
          <w:color w:val="auto"/>
          <w:spacing w:val="0"/>
          <w:sz w:val="30"/>
          <w:szCs w:val="30"/>
          <w:shd w:val="clear" w:fill="FFFFFF"/>
          <w:lang w:eastAsia="zh-CN"/>
        </w:rPr>
      </w:pPr>
      <w:r>
        <w:rPr>
          <w:rFonts w:hint="eastAsia" w:ascii="仿宋" w:hAnsi="仿宋" w:eastAsia="仿宋" w:cs="仿宋"/>
          <w:b/>
          <w:bCs/>
          <w:i w:val="0"/>
          <w:iCs w:val="0"/>
          <w:caps w:val="0"/>
          <w:color w:val="auto"/>
          <w:spacing w:val="0"/>
          <w:sz w:val="30"/>
          <w:szCs w:val="30"/>
          <w:shd w:val="clear" w:fill="FFFFFF"/>
          <w:lang w:eastAsia="zh-CN"/>
        </w:rPr>
        <w:t>（三）项目效益情况。</w:t>
      </w:r>
      <w:bookmarkEnd w:id="15"/>
    </w:p>
    <w:p>
      <w:pPr>
        <w:spacing w:line="360" w:lineRule="auto"/>
        <w:ind w:firstLine="602" w:firstLineChars="200"/>
        <w:rPr>
          <w:rFonts w:hint="eastAsia" w:ascii="仿宋" w:hAnsi="仿宋" w:eastAsia="仿宋" w:cs="仿宋"/>
          <w:b/>
          <w:bCs/>
          <w:i w:val="0"/>
          <w:iCs w:val="0"/>
          <w:caps w:val="0"/>
          <w:color w:val="auto"/>
          <w:spacing w:val="0"/>
          <w:sz w:val="30"/>
          <w:szCs w:val="30"/>
          <w:shd w:val="clear" w:fill="FFFFFF"/>
          <w:lang w:eastAsia="zh-CN"/>
        </w:rPr>
      </w:pPr>
      <w:r>
        <w:rPr>
          <w:rFonts w:hint="eastAsia" w:ascii="仿宋" w:hAnsi="仿宋" w:eastAsia="仿宋" w:cs="仿宋"/>
          <w:b/>
          <w:bCs/>
          <w:i w:val="0"/>
          <w:iCs w:val="0"/>
          <w:caps w:val="0"/>
          <w:color w:val="auto"/>
          <w:spacing w:val="0"/>
          <w:sz w:val="30"/>
          <w:szCs w:val="30"/>
          <w:shd w:val="clear" w:fill="FFFFFF"/>
          <w:lang w:eastAsia="zh-CN"/>
        </w:rPr>
        <w:t>1</w:t>
      </w:r>
      <w:r>
        <w:rPr>
          <w:rFonts w:hint="eastAsia" w:ascii="仿宋" w:hAnsi="仿宋" w:eastAsia="仿宋" w:cs="仿宋"/>
          <w:b/>
          <w:bCs/>
          <w:i w:val="0"/>
          <w:iCs w:val="0"/>
          <w:caps w:val="0"/>
          <w:color w:val="auto"/>
          <w:spacing w:val="0"/>
          <w:sz w:val="30"/>
          <w:szCs w:val="30"/>
          <w:shd w:val="clear" w:fill="FFFFFF"/>
          <w:lang w:val="en-US" w:eastAsia="zh-CN"/>
        </w:rPr>
        <w:t>.</w:t>
      </w:r>
      <w:r>
        <w:rPr>
          <w:rFonts w:hint="eastAsia" w:ascii="仿宋" w:hAnsi="仿宋" w:eastAsia="仿宋" w:cs="仿宋"/>
          <w:b/>
          <w:bCs/>
          <w:i w:val="0"/>
          <w:iCs w:val="0"/>
          <w:caps w:val="0"/>
          <w:color w:val="auto"/>
          <w:spacing w:val="0"/>
          <w:sz w:val="30"/>
          <w:szCs w:val="30"/>
          <w:shd w:val="clear" w:fill="FFFFFF"/>
          <w:lang w:eastAsia="zh-CN"/>
        </w:rPr>
        <w:t>社会效益指标：</w:t>
      </w:r>
    </w:p>
    <w:p>
      <w:pPr>
        <w:spacing w:line="360" w:lineRule="auto"/>
        <w:ind w:firstLine="600" w:firstLineChars="200"/>
        <w:rPr>
          <w:rFonts w:hint="eastAsia"/>
          <w:color w:val="auto"/>
          <w:lang w:val="en-US" w:eastAsia="zh-CN"/>
        </w:rPr>
      </w:pPr>
      <w:r>
        <w:rPr>
          <w:rFonts w:hint="eastAsia" w:ascii="仿宋" w:hAnsi="仿宋" w:eastAsia="仿宋" w:cs="仿宋"/>
          <w:b w:val="0"/>
          <w:bCs w:val="0"/>
          <w:i w:val="0"/>
          <w:iCs w:val="0"/>
          <w:caps w:val="0"/>
          <w:color w:val="auto"/>
          <w:spacing w:val="0"/>
          <w:sz w:val="30"/>
          <w:szCs w:val="30"/>
          <w:shd w:val="clear" w:fill="FFFFFF"/>
          <w:lang w:eastAsia="zh-CN"/>
        </w:rPr>
        <w:t>指标1：指导农业生产社会化服务水平，</w:t>
      </w:r>
      <w:r>
        <w:rPr>
          <w:rFonts w:hint="eastAsia"/>
          <w:color w:val="auto"/>
        </w:rPr>
        <w:t>指标值：</w:t>
      </w:r>
      <w:r>
        <w:rPr>
          <w:rFonts w:hint="eastAsia"/>
          <w:color w:val="auto"/>
          <w:lang w:eastAsia="zh-CN"/>
        </w:rPr>
        <w:t>稳步提升</w:t>
      </w:r>
      <w:r>
        <w:rPr>
          <w:rFonts w:hint="eastAsia"/>
          <w:color w:val="auto"/>
        </w:rPr>
        <w:t>，</w:t>
      </w:r>
      <w:r>
        <w:rPr>
          <w:rFonts w:hint="eastAsia"/>
          <w:color w:val="auto"/>
          <w:lang w:eastAsia="zh-CN"/>
        </w:rPr>
        <w:t>实际完成值稳步提升</w:t>
      </w:r>
      <w:r>
        <w:rPr>
          <w:rFonts w:hint="eastAsia"/>
          <w:color w:val="auto"/>
        </w:rPr>
        <w:t>，指标完成率</w:t>
      </w:r>
      <w:r>
        <w:rPr>
          <w:rFonts w:hint="eastAsia"/>
          <w:color w:val="auto"/>
          <w:lang w:val="en-US" w:eastAsia="zh-CN"/>
        </w:rPr>
        <w:t>100%。</w:t>
      </w:r>
    </w:p>
    <w:p>
      <w:pPr>
        <w:spacing w:line="360" w:lineRule="auto"/>
        <w:ind w:firstLine="600" w:firstLineChars="200"/>
        <w:rPr>
          <w:rFonts w:hint="eastAsia" w:ascii="仿宋" w:hAnsi="仿宋" w:eastAsia="仿宋" w:cs="仿宋"/>
          <w:b w:val="0"/>
          <w:bCs w:val="0"/>
          <w:i w:val="0"/>
          <w:iCs w:val="0"/>
          <w:caps w:val="0"/>
          <w:color w:val="auto"/>
          <w:spacing w:val="0"/>
          <w:sz w:val="30"/>
          <w:szCs w:val="30"/>
          <w:shd w:val="clear" w:fill="FFFFFF"/>
          <w:lang w:eastAsia="zh-CN"/>
        </w:rPr>
      </w:pPr>
      <w:r>
        <w:rPr>
          <w:rFonts w:hint="eastAsia" w:ascii="仿宋" w:hAnsi="仿宋" w:eastAsia="仿宋" w:cs="仿宋"/>
          <w:b w:val="0"/>
          <w:bCs w:val="0"/>
          <w:i w:val="0"/>
          <w:iCs w:val="0"/>
          <w:caps w:val="0"/>
          <w:color w:val="auto"/>
          <w:spacing w:val="0"/>
          <w:sz w:val="30"/>
          <w:szCs w:val="30"/>
          <w:shd w:val="clear" w:fill="FFFFFF"/>
          <w:lang w:eastAsia="zh-CN"/>
        </w:rPr>
        <w:t>指标2：资金使用重大违规违纪问题，</w:t>
      </w:r>
      <w:r>
        <w:rPr>
          <w:rFonts w:hint="eastAsia"/>
          <w:color w:val="auto"/>
        </w:rPr>
        <w:t>指标值：</w:t>
      </w:r>
      <w:r>
        <w:rPr>
          <w:rFonts w:hint="eastAsia"/>
          <w:color w:val="auto"/>
          <w:lang w:eastAsia="zh-CN"/>
        </w:rPr>
        <w:t>无</w:t>
      </w:r>
      <w:r>
        <w:rPr>
          <w:rFonts w:hint="eastAsia"/>
          <w:color w:val="auto"/>
        </w:rPr>
        <w:t>，</w:t>
      </w:r>
      <w:r>
        <w:rPr>
          <w:rFonts w:hint="eastAsia"/>
          <w:color w:val="auto"/>
          <w:lang w:eastAsia="zh-CN"/>
        </w:rPr>
        <w:t>稳步提升</w:t>
      </w:r>
      <w:r>
        <w:rPr>
          <w:rFonts w:hint="eastAsia"/>
          <w:color w:val="auto"/>
        </w:rPr>
        <w:t>，</w:t>
      </w:r>
      <w:r>
        <w:rPr>
          <w:rFonts w:hint="eastAsia"/>
          <w:color w:val="auto"/>
          <w:lang w:eastAsia="zh-CN"/>
        </w:rPr>
        <w:t>实际完成值无，</w:t>
      </w:r>
      <w:r>
        <w:rPr>
          <w:rFonts w:hint="eastAsia"/>
          <w:color w:val="auto"/>
        </w:rPr>
        <w:t>指标完成率</w:t>
      </w:r>
      <w:r>
        <w:rPr>
          <w:rFonts w:hint="eastAsia"/>
          <w:color w:val="auto"/>
          <w:lang w:val="en-US" w:eastAsia="zh-CN"/>
        </w:rPr>
        <w:t>100%。</w:t>
      </w:r>
    </w:p>
    <w:p>
      <w:pPr>
        <w:spacing w:line="360" w:lineRule="auto"/>
        <w:ind w:firstLine="602" w:firstLineChars="200"/>
        <w:rPr>
          <w:rFonts w:hint="eastAsia" w:ascii="仿宋" w:hAnsi="仿宋" w:eastAsia="仿宋" w:cs="仿宋"/>
          <w:b/>
          <w:bCs/>
          <w:i w:val="0"/>
          <w:iCs w:val="0"/>
          <w:caps w:val="0"/>
          <w:color w:val="auto"/>
          <w:spacing w:val="0"/>
          <w:sz w:val="30"/>
          <w:szCs w:val="30"/>
          <w:shd w:val="clear" w:fill="FFFFFF"/>
          <w:lang w:eastAsia="zh-CN"/>
        </w:rPr>
      </w:pPr>
      <w:r>
        <w:rPr>
          <w:rFonts w:hint="eastAsia" w:ascii="仿宋" w:hAnsi="仿宋" w:eastAsia="仿宋" w:cs="仿宋"/>
          <w:b/>
          <w:bCs/>
          <w:i w:val="0"/>
          <w:iCs w:val="0"/>
          <w:caps w:val="0"/>
          <w:color w:val="auto"/>
          <w:spacing w:val="0"/>
          <w:sz w:val="30"/>
          <w:szCs w:val="30"/>
          <w:shd w:val="clear" w:fill="FFFFFF"/>
          <w:lang w:val="en-US" w:eastAsia="zh-CN"/>
        </w:rPr>
        <w:t>2.</w:t>
      </w:r>
      <w:r>
        <w:rPr>
          <w:rFonts w:hint="eastAsia" w:ascii="仿宋" w:hAnsi="仿宋" w:eastAsia="仿宋" w:cs="仿宋"/>
          <w:b/>
          <w:bCs/>
          <w:i w:val="0"/>
          <w:iCs w:val="0"/>
          <w:caps w:val="0"/>
          <w:color w:val="auto"/>
          <w:spacing w:val="0"/>
          <w:sz w:val="30"/>
          <w:szCs w:val="30"/>
          <w:shd w:val="clear" w:fill="FFFFFF"/>
          <w:lang w:eastAsia="zh-CN"/>
        </w:rPr>
        <w:t>满意度指标：</w:t>
      </w:r>
    </w:p>
    <w:p>
      <w:pPr>
        <w:spacing w:line="360" w:lineRule="auto"/>
        <w:ind w:firstLine="600" w:firstLineChars="200"/>
        <w:rPr>
          <w:rFonts w:hint="eastAsia" w:ascii="仿宋" w:hAnsi="仿宋" w:eastAsia="仿宋_GB2312" w:cs="仿宋"/>
          <w:b w:val="0"/>
          <w:bCs w:val="0"/>
          <w:i w:val="0"/>
          <w:iCs w:val="0"/>
          <w:caps w:val="0"/>
          <w:color w:val="333333"/>
          <w:spacing w:val="0"/>
          <w:sz w:val="30"/>
          <w:szCs w:val="30"/>
          <w:shd w:val="clear" w:fill="FFFFFF"/>
          <w:lang w:val="en-US" w:eastAsia="zh-CN"/>
        </w:rPr>
      </w:pPr>
      <w:r>
        <w:rPr>
          <w:rFonts w:hint="eastAsia" w:ascii="仿宋" w:hAnsi="仿宋" w:eastAsia="仿宋" w:cs="仿宋"/>
          <w:b w:val="0"/>
          <w:bCs w:val="0"/>
          <w:i w:val="0"/>
          <w:iCs w:val="0"/>
          <w:caps w:val="0"/>
          <w:color w:val="auto"/>
          <w:spacing w:val="0"/>
          <w:sz w:val="30"/>
          <w:szCs w:val="30"/>
          <w:shd w:val="clear" w:fill="FFFFFF"/>
          <w:lang w:eastAsia="zh-CN"/>
        </w:rPr>
        <w:t>指标1：农机购机户满意度，指标值≥90%，实际完成值9</w:t>
      </w:r>
      <w:r>
        <w:rPr>
          <w:rFonts w:hint="eastAsia" w:ascii="仿宋" w:hAnsi="仿宋" w:eastAsia="仿宋" w:cs="仿宋"/>
          <w:b w:val="0"/>
          <w:bCs w:val="0"/>
          <w:i w:val="0"/>
          <w:iCs w:val="0"/>
          <w:caps w:val="0"/>
          <w:color w:val="auto"/>
          <w:spacing w:val="0"/>
          <w:sz w:val="30"/>
          <w:szCs w:val="30"/>
          <w:shd w:val="clear" w:fill="FFFFFF"/>
          <w:lang w:val="en-US" w:eastAsia="zh-CN"/>
        </w:rPr>
        <w:t>6.37</w:t>
      </w:r>
      <w:r>
        <w:rPr>
          <w:rFonts w:hint="eastAsia" w:ascii="仿宋" w:hAnsi="仿宋" w:eastAsia="仿宋" w:cs="仿宋"/>
          <w:b w:val="0"/>
          <w:bCs w:val="0"/>
          <w:i w:val="0"/>
          <w:iCs w:val="0"/>
          <w:caps w:val="0"/>
          <w:color w:val="auto"/>
          <w:spacing w:val="0"/>
          <w:sz w:val="30"/>
          <w:szCs w:val="30"/>
          <w:shd w:val="clear" w:fill="FFFFFF"/>
          <w:lang w:eastAsia="zh-CN"/>
        </w:rPr>
        <w:t>%，</w:t>
      </w:r>
      <w:r>
        <w:rPr>
          <w:rFonts w:hint="eastAsia" w:ascii="仿宋" w:hAnsi="仿宋" w:eastAsia="仿宋" w:cs="仿宋"/>
          <w:b w:val="0"/>
          <w:bCs w:val="0"/>
          <w:i w:val="0"/>
          <w:iCs w:val="0"/>
          <w:caps w:val="0"/>
          <w:color w:val="333333"/>
          <w:spacing w:val="0"/>
          <w:sz w:val="30"/>
          <w:szCs w:val="30"/>
          <w:shd w:val="clear" w:fill="FFFFFF"/>
          <w:lang w:eastAsia="zh-CN"/>
        </w:rPr>
        <w:t>指标完成率</w:t>
      </w:r>
      <w:r>
        <w:rPr>
          <w:rFonts w:hint="eastAsia" w:ascii="仿宋" w:hAnsi="仿宋" w:eastAsia="仿宋" w:cs="仿宋"/>
          <w:b w:val="0"/>
          <w:bCs w:val="0"/>
          <w:i w:val="0"/>
          <w:iCs w:val="0"/>
          <w:caps w:val="0"/>
          <w:color w:val="333333"/>
          <w:spacing w:val="0"/>
          <w:sz w:val="30"/>
          <w:szCs w:val="30"/>
          <w:shd w:val="clear" w:fill="FFFFFF"/>
          <w:lang w:val="en-US" w:eastAsia="zh-CN"/>
        </w:rPr>
        <w:t>107.08%</w:t>
      </w:r>
      <w:r>
        <w:rPr>
          <w:rFonts w:hint="eastAsia"/>
          <w:color w:val="auto"/>
          <w:lang w:eastAsia="zh-CN"/>
        </w:rPr>
        <w:t>。</w:t>
      </w:r>
    </w:p>
    <w:p>
      <w:pPr>
        <w:pStyle w:val="4"/>
        <w:spacing w:line="360" w:lineRule="auto"/>
        <w:rPr>
          <w:rFonts w:hint="eastAsia" w:ascii="宋体" w:hAnsi="宋体" w:eastAsia="宋体" w:cs="宋体"/>
          <w:sz w:val="30"/>
          <w:szCs w:val="30"/>
        </w:rPr>
      </w:pPr>
      <w:bookmarkStart w:id="16" w:name="_Toc68703842"/>
      <w:r>
        <w:rPr>
          <w:rFonts w:hint="eastAsia" w:ascii="宋体" w:hAnsi="宋体" w:eastAsia="宋体" w:cs="宋体"/>
          <w:sz w:val="30"/>
          <w:szCs w:val="30"/>
        </w:rPr>
        <w:t>五、主要经验及做法、存在的问题及原因分析</w:t>
      </w:r>
      <w:bookmarkEnd w:id="16"/>
    </w:p>
    <w:p>
      <w:pPr>
        <w:pStyle w:val="5"/>
        <w:spacing w:line="360" w:lineRule="auto"/>
        <w:rPr>
          <w:rFonts w:hint="eastAsia" w:ascii="宋体" w:hAnsi="宋体" w:eastAsia="宋体" w:cs="宋体"/>
          <w:b/>
          <w:bCs/>
          <w:sz w:val="30"/>
          <w:szCs w:val="30"/>
        </w:rPr>
      </w:pPr>
      <w:bookmarkStart w:id="17" w:name="_Toc68703843"/>
      <w:r>
        <w:rPr>
          <w:rFonts w:hint="eastAsia" w:ascii="宋体" w:hAnsi="宋体" w:eastAsia="宋体" w:cs="宋体"/>
          <w:b/>
          <w:bCs/>
          <w:sz w:val="30"/>
          <w:szCs w:val="30"/>
        </w:rPr>
        <w:t>（一）主要经验及做法</w:t>
      </w:r>
      <w:bookmarkEnd w:id="17"/>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1.我局建立研究决策机制。成立农机购置补贴工作领导小组，并制定资金使用计划、补贴范围、补贴对象、重点推广机具种类等重要事项，经农机购置补贴工作领导小组集体研究确定，认真制定了符合霍城县特点的实施方案。</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2.建立目标管理机制。层层签订目标责任书，细化任务，明确责任，形成一级抓一级、层层抓落实的工作格局。对薄弱环节机具进行了重点扶持。3.建立了责任追究机制。“谁办理、谁负责，谁核实、谁负责”。责任追究覆盖补贴申请、审核与审批、公示与核实、监管与督查、档案管理等全过程。完善相关制度法规，做到追究倒查责任机制有章可循，针对“自主购机、定额补贴、县级结算、直补到卡”的工作要求，霍城县农业农村局农机分管领导在全县农机补贴工作会议上进一步强调了要严格补贴程序，明确了政策公示、受理申请、对象确认、机具登记核实、资金兑付等重点环节的具体工作内容及时间安排，在补贴工作的具体操作中，从接受农民申请资格确认、张榜公示、确定补贴对象、补贴信息系统录入、发放补贴指标通知书、人机合影、机具核实、建立补贴工作档案等环节，严格按照补贴操作流程做到一个步骤不少，一个环节不缺，一个程序不减，公开透明，阳光操作，切实把每个环节的工作做好做实。确保了农机购置补贴工作更加科学、合理、透明，使补贴过程更加规范。</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4.为了使农机购置补贴政策做到家喻户晓、人人皆知，县农机部门采取各种形式进行了深入宣传。</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一）是通过会议宣传。召开农机补贴专题会议，有效扩大了农机补贴工作的社会影响。通过挂图、展板、发放宣传资料、面对面讲解等形式宣传农机购置补贴政策和操作流程，全县共印发各种宣传资料8000余份。</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二是在霍城县政务公开信息网上建立农机补贴专栏及时公布《2021-2023年农机购置补贴实施方案》、实施范围、补贴目录、补贴标准、补贴程序、享受农机补贴的农户信息等相关农机购置补贴政策资料。</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5、加强监管。我局把监管工作作为重中之重来抓，严防违法违纪行为的发生。防止违规违纪案件发生。同时我中心加强牌证管理。对享受农机购置补贴的8.8千瓦以上拖拉机、联合收割机要求农户必须到当地农机监理部门进行注册登记，纳入安全监管，对大额资金和超机具台数进行严格审批，经过调查确有需要，经购机补贴办或领导小组签字同意后，方可申办补贴。由购机者自主选择经销商和补贴机具。通过在政务公开信息网上公布县农机补贴咨询投诉电话，广泛接受群众监督，并对投诉、举报认真做好记录，做到有诉必应，有诉必查、有问题必纠。</w:t>
      </w:r>
    </w:p>
    <w:p>
      <w:p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6、加快资金结算进度。为进一步加快农机购置补贴实施进度，赫山区农机购置补贴项目办公室采取有效措施，由各乡镇补贴受理点核实人员按照机具核实要求，深入农户，逐一严格审核确认购机户身份证、发票号、经销企业核实表、机具的品牌型号、出厂编号、发动机号等资料信息与购机户所购农机具是否一致，确保签字手续完备，内容填写真实完整，确保所有信息一致完善。在乡镇核查之后，县农机局组织人员对部份机具进行了复核，确保购机的真实性。并及时办理补贴机具入户核实及材料汇总等工作，及时报送结算材料，并积极与财政部门沟通协商，加快结算进度。</w:t>
      </w:r>
    </w:p>
    <w:p>
      <w:pPr>
        <w:pStyle w:val="5"/>
        <w:numPr>
          <w:ilvl w:val="0"/>
          <w:numId w:val="0"/>
        </w:numPr>
        <w:spacing w:line="360" w:lineRule="auto"/>
        <w:rPr>
          <w:rFonts w:hint="eastAsia" w:ascii="仿宋_GB2312" w:hAnsi="Times New Roman" w:eastAsia="仿宋_GB2312" w:cs="Times New Roman"/>
          <w:b w:val="0"/>
          <w:bCs w:val="0"/>
          <w:color w:val="auto"/>
          <w:kern w:val="2"/>
          <w:sz w:val="32"/>
          <w:szCs w:val="32"/>
          <w:lang w:val="en-US" w:eastAsia="zh-CN" w:bidi="ar-SA"/>
        </w:rPr>
      </w:pPr>
      <w:bookmarkStart w:id="18" w:name="_Toc68703844"/>
      <w:r>
        <w:rPr>
          <w:rFonts w:hint="eastAsia" w:ascii="仿宋_GB2312" w:hAnsi="Times New Roman" w:eastAsia="仿宋_GB2312" w:cs="Times New Roman"/>
          <w:b w:val="0"/>
          <w:bCs w:val="0"/>
          <w:color w:val="auto"/>
          <w:kern w:val="2"/>
          <w:sz w:val="32"/>
          <w:szCs w:val="32"/>
          <w:lang w:val="en-US" w:eastAsia="zh-CN" w:bidi="ar-SA"/>
        </w:rPr>
        <w:t>（二）存在的问题及原因分析</w:t>
      </w:r>
      <w:bookmarkEnd w:id="18"/>
    </w:p>
    <w:p>
      <w:pPr>
        <w:pStyle w:val="5"/>
        <w:numPr>
          <w:ilvl w:val="0"/>
          <w:numId w:val="0"/>
        </w:num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存在的问题:1、政策宣传力度不够；2、管理制度尚不完善3、申报程序较为繁琐</w:t>
      </w:r>
    </w:p>
    <w:p>
      <w:pPr>
        <w:pStyle w:val="5"/>
        <w:numPr>
          <w:ilvl w:val="0"/>
          <w:numId w:val="0"/>
        </w:num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原因分析：1、部分乡镇存在对农机购置补贴的政策宣传形式过于传统化，公开内容不全面，不及时；2、乡镇受理农机购置补贴工作的经办人员大部分身兼数职，工作任务繁重，且人员更换也较为频繁，不能较好地为申办补贴农户提供受理补贴服务。3、虽然农民购买农机可以询价、议价，但定价的主动权不掌握在农民手中，存在经销商变相加价、抬价现象，导致部分农机具在农民享受补贴后的价格与实际市场价格相关不大，使财政补贴“缩水”，农民受益减少。</w:t>
      </w:r>
    </w:p>
    <w:p>
      <w:pPr>
        <w:pStyle w:val="5"/>
        <w:numPr>
          <w:ilvl w:val="0"/>
          <w:numId w:val="0"/>
        </w:numPr>
        <w:spacing w:line="360" w:lineRule="auto"/>
        <w:ind w:firstLine="602" w:firstLineChars="200"/>
        <w:rPr>
          <w:rFonts w:hint="eastAsia" w:ascii="宋体" w:hAnsi="宋体" w:eastAsia="宋体" w:cs="宋体"/>
          <w:b/>
          <w:bCs/>
          <w:kern w:val="44"/>
          <w:sz w:val="30"/>
          <w:szCs w:val="30"/>
          <w:lang w:val="en-US" w:eastAsia="zh-CN" w:bidi="ar-SA"/>
        </w:rPr>
      </w:pPr>
      <w:bookmarkStart w:id="19" w:name="_Toc68703845"/>
      <w:r>
        <w:rPr>
          <w:rFonts w:hint="eastAsia" w:ascii="宋体" w:hAnsi="宋体" w:eastAsia="宋体" w:cs="宋体"/>
          <w:b/>
          <w:bCs/>
          <w:kern w:val="44"/>
          <w:sz w:val="30"/>
          <w:szCs w:val="30"/>
          <w:lang w:val="en-US" w:eastAsia="zh-CN" w:bidi="ar-SA"/>
        </w:rPr>
        <w:t>六、有关建议</w:t>
      </w:r>
      <w:bookmarkEnd w:id="19"/>
    </w:p>
    <w:p>
      <w:pPr>
        <w:pStyle w:val="5"/>
        <w:numPr>
          <w:ilvl w:val="0"/>
          <w:numId w:val="0"/>
        </w:num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加大农机购置补贴政策的宣传力度，强化经办人员的业务培训，认真组织实施补贴申报和核查，严格政策程序和项目资金使用监管，推进项目实施进度和预算执行进度，完成项目任务内容和绩效目标。</w:t>
      </w:r>
    </w:p>
    <w:p>
      <w:pPr>
        <w:pStyle w:val="5"/>
        <w:numPr>
          <w:ilvl w:val="0"/>
          <w:numId w:val="0"/>
        </w:numPr>
        <w:spacing w:line="360" w:lineRule="auto"/>
        <w:ind w:firstLine="602" w:firstLineChars="200"/>
        <w:rPr>
          <w:rFonts w:hint="eastAsia" w:ascii="宋体" w:hAnsi="宋体" w:eastAsia="宋体" w:cs="宋体"/>
          <w:b/>
          <w:bCs/>
          <w:kern w:val="44"/>
          <w:sz w:val="30"/>
          <w:szCs w:val="30"/>
          <w:lang w:val="en-US" w:eastAsia="zh-CN" w:bidi="ar-SA"/>
        </w:rPr>
      </w:pPr>
      <w:bookmarkStart w:id="20" w:name="_Toc68703846"/>
      <w:r>
        <w:rPr>
          <w:rFonts w:hint="eastAsia" w:ascii="宋体" w:hAnsi="宋体" w:eastAsia="宋体" w:cs="宋体"/>
          <w:b/>
          <w:bCs/>
          <w:kern w:val="44"/>
          <w:sz w:val="30"/>
          <w:szCs w:val="30"/>
          <w:lang w:val="en-US" w:eastAsia="zh-CN" w:bidi="ar-SA"/>
        </w:rPr>
        <w:t>七、其他需要说明的问题</w:t>
      </w:r>
      <w:bookmarkEnd w:id="20"/>
    </w:p>
    <w:p>
      <w:pPr>
        <w:pStyle w:val="5"/>
        <w:numPr>
          <w:ilvl w:val="0"/>
          <w:numId w:val="0"/>
        </w:num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绩效自评结果报上级主管部门审核，作为以后年度专项转移支付预算申请的重要依据。绩效自评结果拟通过购机补贴信息公开专栏予以公开。</w:t>
      </w:r>
    </w:p>
    <w:p>
      <w:pPr>
        <w:pStyle w:val="5"/>
        <w:numPr>
          <w:ilvl w:val="0"/>
          <w:numId w:val="0"/>
        </w:num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p>
    <w:p>
      <w:pPr>
        <w:pStyle w:val="5"/>
        <w:numPr>
          <w:ilvl w:val="0"/>
          <w:numId w:val="0"/>
        </w:numPr>
        <w:spacing w:line="360" w:lineRule="auto"/>
        <w:ind w:firstLine="640" w:firstLineChars="200"/>
        <w:rPr>
          <w:rFonts w:hint="eastAsia" w:ascii="仿宋_GB2312" w:hAnsi="Times New Roman" w:eastAsia="仿宋_GB2312" w:cs="Times New Roman"/>
          <w:b w:val="0"/>
          <w:bCs w:val="0"/>
          <w:color w:val="auto"/>
          <w:kern w:val="2"/>
          <w:sz w:val="32"/>
          <w:szCs w:val="32"/>
          <w:lang w:val="en-US" w:eastAsia="zh-CN" w:bidi="ar-SA"/>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124A4D"/>
    <w:multiLevelType w:val="singleLevel"/>
    <w:tmpl w:val="9D124A4D"/>
    <w:lvl w:ilvl="0" w:tentative="0">
      <w:start w:val="2"/>
      <w:numFmt w:val="decimal"/>
      <w:suff w:val="nothing"/>
      <w:lvlText w:val="%1、"/>
      <w:lvlJc w:val="left"/>
    </w:lvl>
  </w:abstractNum>
  <w:abstractNum w:abstractNumId="1">
    <w:nsid w:val="B11BBFF0"/>
    <w:multiLevelType w:val="singleLevel"/>
    <w:tmpl w:val="B11BBFF0"/>
    <w:lvl w:ilvl="0" w:tentative="0">
      <w:start w:val="1"/>
      <w:numFmt w:val="chineseCounting"/>
      <w:suff w:val="nothing"/>
      <w:lvlText w:val="%1、"/>
      <w:lvlJc w:val="left"/>
      <w:rPr>
        <w:rFonts w:hint="eastAsia"/>
      </w:rPr>
    </w:lvl>
  </w:abstractNum>
  <w:abstractNum w:abstractNumId="2">
    <w:nsid w:val="EA568D6B"/>
    <w:multiLevelType w:val="singleLevel"/>
    <w:tmpl w:val="EA568D6B"/>
    <w:lvl w:ilvl="0" w:tentative="0">
      <w:start w:val="4"/>
      <w:numFmt w:val="chineseCounting"/>
      <w:suff w:val="nothing"/>
      <w:lvlText w:val="%1、"/>
      <w:lvlJc w:val="left"/>
      <w:rPr>
        <w:rFonts w:hint="eastAsia"/>
      </w:rPr>
    </w:lvl>
  </w:abstractNum>
  <w:abstractNum w:abstractNumId="3">
    <w:nsid w:val="02EA05B6"/>
    <w:multiLevelType w:val="singleLevel"/>
    <w:tmpl w:val="02EA05B6"/>
    <w:lvl w:ilvl="0" w:tentative="0">
      <w:start w:val="2"/>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lY2U2MmJlNmU4MTRiZTIwODJiZTMyYTA3MDZhMjgifQ=="/>
  </w:docVars>
  <w:rsids>
    <w:rsidRoot w:val="007D49C5"/>
    <w:rsid w:val="000D63FA"/>
    <w:rsid w:val="005B64E8"/>
    <w:rsid w:val="00614288"/>
    <w:rsid w:val="00792CFE"/>
    <w:rsid w:val="007D49C5"/>
    <w:rsid w:val="008175E0"/>
    <w:rsid w:val="008C631D"/>
    <w:rsid w:val="00A114ED"/>
    <w:rsid w:val="00B24331"/>
    <w:rsid w:val="040261B5"/>
    <w:rsid w:val="05847889"/>
    <w:rsid w:val="08777316"/>
    <w:rsid w:val="0F2A6BF7"/>
    <w:rsid w:val="142762CD"/>
    <w:rsid w:val="18660AA3"/>
    <w:rsid w:val="1E0B2EE0"/>
    <w:rsid w:val="22040BC7"/>
    <w:rsid w:val="26D1507C"/>
    <w:rsid w:val="27740E83"/>
    <w:rsid w:val="28291C43"/>
    <w:rsid w:val="33FE7108"/>
    <w:rsid w:val="36B72533"/>
    <w:rsid w:val="4057649F"/>
    <w:rsid w:val="4AFC0988"/>
    <w:rsid w:val="56796849"/>
    <w:rsid w:val="5D952B1D"/>
    <w:rsid w:val="5DA95371"/>
    <w:rsid w:val="60E90F2F"/>
    <w:rsid w:val="68FB05B6"/>
    <w:rsid w:val="70C91294"/>
    <w:rsid w:val="72AF7D12"/>
    <w:rsid w:val="751B54B4"/>
    <w:rsid w:val="759565FA"/>
    <w:rsid w:val="762B24C6"/>
    <w:rsid w:val="769A539F"/>
    <w:rsid w:val="7D8A7A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3"/>
    <w:qFormat/>
    <w:uiPriority w:val="0"/>
    <w:pPr>
      <w:ind w:firstLine="420" w:firstLineChars="100"/>
    </w:pPr>
    <w:rPr>
      <w:kern w:val="0"/>
      <w:sz w:val="24"/>
      <w:szCs w:val="22"/>
      <w:lang w:eastAsia="en-US"/>
    </w:rPr>
  </w:style>
  <w:style w:type="paragraph" w:customStyle="1" w:styleId="3">
    <w:name w:val="UserStyle_1"/>
    <w:basedOn w:val="1"/>
    <w:qFormat/>
    <w:uiPriority w:val="0"/>
    <w:pPr>
      <w:spacing w:before="100" w:beforeAutospacing="1" w:after="120"/>
      <w:textAlignment w:val="baseline"/>
    </w:pPr>
    <w:rPr>
      <w:rFonts w:ascii="Times New Roman" w:hAnsi="Times New Roman" w:eastAsia="宋体"/>
      <w:szCs w:val="21"/>
    </w:rPr>
  </w:style>
  <w:style w:type="paragraph" w:styleId="6">
    <w:name w:val="footer"/>
    <w:basedOn w:val="1"/>
    <w:link w:val="18"/>
    <w:semiHidden/>
    <w:unhideWhenUsed/>
    <w:qFormat/>
    <w:uiPriority w:val="99"/>
    <w:pPr>
      <w:tabs>
        <w:tab w:val="center" w:pos="4153"/>
        <w:tab w:val="right" w:pos="8306"/>
      </w:tabs>
      <w:snapToGrid w:val="0"/>
      <w:jc w:val="left"/>
    </w:pPr>
    <w:rPr>
      <w:sz w:val="18"/>
      <w:szCs w:val="18"/>
    </w:rPr>
  </w:style>
  <w:style w:type="paragraph" w:styleId="7">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标题 1 Char"/>
    <w:basedOn w:val="12"/>
    <w:link w:val="4"/>
    <w:qFormat/>
    <w:uiPriority w:val="9"/>
    <w:rPr>
      <w:rFonts w:ascii="Times New Roman" w:hAnsi="Times New Roman" w:eastAsia="仿宋_GB2312" w:cs="Times New Roman"/>
      <w:b/>
      <w:bCs/>
      <w:kern w:val="44"/>
      <w:sz w:val="44"/>
      <w:szCs w:val="44"/>
    </w:rPr>
  </w:style>
  <w:style w:type="character" w:customStyle="1" w:styleId="15">
    <w:name w:val="标题 2 Char"/>
    <w:basedOn w:val="12"/>
    <w:link w:val="5"/>
    <w:qFormat/>
    <w:uiPriority w:val="9"/>
    <w:rPr>
      <w:rFonts w:asciiTheme="majorHAnsi" w:hAnsiTheme="majorHAnsi" w:eastAsiaTheme="majorEastAsia" w:cstheme="majorBidi"/>
      <w:b/>
      <w:bCs/>
      <w:sz w:val="32"/>
      <w:szCs w:val="32"/>
    </w:rPr>
  </w:style>
  <w:style w:type="paragraph" w:customStyle="1" w:styleId="16">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7">
    <w:name w:val="页眉 Char"/>
    <w:basedOn w:val="12"/>
    <w:link w:val="7"/>
    <w:semiHidden/>
    <w:qFormat/>
    <w:uiPriority w:val="99"/>
    <w:rPr>
      <w:rFonts w:ascii="Times New Roman" w:hAnsi="Times New Roman" w:eastAsia="仿宋_GB2312" w:cs="Times New Roman"/>
      <w:sz w:val="18"/>
      <w:szCs w:val="18"/>
    </w:rPr>
  </w:style>
  <w:style w:type="character" w:customStyle="1" w:styleId="18">
    <w:name w:val="页脚 Char"/>
    <w:basedOn w:val="12"/>
    <w:link w:val="6"/>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6698</Words>
  <Characters>7066</Characters>
  <Lines>37</Lines>
  <Paragraphs>10</Paragraphs>
  <TotalTime>12</TotalTime>
  <ScaleCrop>false</ScaleCrop>
  <LinksUpToDate>false</LinksUpToDate>
  <CharactersWithSpaces>7079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2023-09-06T04:57:57Z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6E7F39DB28034DDBA8399BB7A615B44B</vt:lpwstr>
  </property>
</Properties>
</file>