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2</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2022年人大会议和人大代表经费项目</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霍城县人大常委会办公室</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霍城县人大常委会办公室</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杨宗善</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3</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20</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pageBreakBefore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rPr>
      </w:pPr>
      <w:r>
        <w:rPr>
          <w:rFonts w:hint="eastAsia" w:ascii="仿宋_GB2312"/>
        </w:rPr>
        <w:t>1、项目背景</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lang w:val="en-US" w:eastAsia="zh-CN"/>
        </w:rPr>
      </w:pPr>
      <w:r>
        <w:rPr>
          <w:rFonts w:hint="eastAsia" w:ascii="仿宋_GB2312"/>
          <w:lang w:val="en-US" w:eastAsia="zh-CN"/>
        </w:rPr>
        <w:t>根据霍城县财政局下达的《关于下达2022年度部门预算指标的通知》（霍财预[2022]1号）精神，</w:t>
      </w:r>
      <w:r>
        <w:rPr>
          <w:rFonts w:hint="eastAsia" w:ascii="仿宋_GB2312" w:hAnsi="宋体" w:eastAsia="仿宋_GB2312" w:cs="宋体"/>
          <w:bCs/>
          <w:color w:val="000000"/>
          <w:kern w:val="0"/>
          <w:sz w:val="32"/>
          <w:szCs w:val="32"/>
        </w:rPr>
        <w:t>县人大常委会办公室收到县财政拨付</w:t>
      </w:r>
      <w:r>
        <w:rPr>
          <w:rFonts w:hint="eastAsia" w:ascii="仿宋_GB2312" w:hAnsi="宋体" w:cs="宋体"/>
          <w:bCs/>
          <w:color w:val="000000"/>
          <w:kern w:val="0"/>
          <w:sz w:val="32"/>
          <w:szCs w:val="32"/>
          <w:lang w:val="en-US" w:eastAsia="zh-CN"/>
        </w:rPr>
        <w:t>人大代表会议和人大代表工作</w:t>
      </w:r>
      <w:r>
        <w:rPr>
          <w:rFonts w:hint="eastAsia" w:ascii="仿宋_GB2312" w:hAnsi="宋体" w:eastAsia="仿宋_GB2312" w:cs="宋体"/>
          <w:bCs/>
          <w:color w:val="000000"/>
          <w:kern w:val="0"/>
          <w:sz w:val="32"/>
          <w:szCs w:val="32"/>
        </w:rPr>
        <w:t>补助经费</w:t>
      </w:r>
      <w:r>
        <w:rPr>
          <w:rFonts w:hint="eastAsia" w:ascii="仿宋_GB2312" w:hAnsi="宋体" w:cs="宋体"/>
          <w:bCs/>
          <w:color w:val="000000"/>
          <w:kern w:val="0"/>
          <w:sz w:val="32"/>
          <w:szCs w:val="32"/>
          <w:lang w:val="en-US" w:eastAsia="zh-CN"/>
        </w:rPr>
        <w:t>38</w:t>
      </w:r>
      <w:r>
        <w:rPr>
          <w:rFonts w:hint="eastAsia" w:ascii="仿宋_GB2312" w:hAnsi="宋体" w:eastAsia="仿宋_GB2312" w:cs="宋体"/>
          <w:bCs/>
          <w:color w:val="000000"/>
          <w:kern w:val="0"/>
          <w:sz w:val="32"/>
          <w:szCs w:val="32"/>
        </w:rPr>
        <w:t>万元</w:t>
      </w:r>
      <w:r>
        <w:rPr>
          <w:rFonts w:hint="eastAsia" w:ascii="仿宋_GB2312"/>
          <w:lang w:val="en-US"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rFonts w:ascii="仿宋_GB2312"/>
        </w:rPr>
      </w:pPr>
      <w:r>
        <w:rPr>
          <w:rFonts w:hint="eastAsia" w:ascii="仿宋_GB2312"/>
        </w:rPr>
        <w:t>2</w:t>
      </w:r>
      <w:r>
        <w:rPr>
          <w:rFonts w:hint="eastAsia" w:ascii="仿宋_GB2312"/>
          <w:lang w:val="en-US" w:eastAsia="zh-CN"/>
        </w:rPr>
        <w:t>.</w:t>
      </w:r>
      <w:r>
        <w:rPr>
          <w:rFonts w:hint="eastAsia" w:ascii="仿宋_GB2312"/>
        </w:rPr>
        <w:t>主要内容</w:t>
      </w:r>
      <w:r>
        <w:rPr>
          <w:rFonts w:hint="eastAsia"/>
        </w:rPr>
        <w:t>及</w:t>
      </w:r>
      <w:r>
        <w:rPr>
          <w:rFonts w:hint="eastAsia" w:ascii="仿宋_GB2312"/>
        </w:rPr>
        <w:t>实施情况</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rPr>
        <w:t>主要内容：</w:t>
      </w:r>
      <w:r>
        <w:rPr>
          <w:rFonts w:hint="eastAsia" w:ascii="仿宋_GB2312"/>
          <w:color w:val="auto"/>
        </w:rPr>
        <w:t>霍城县人大机关在县人大常委会的领导下，深入贯彻落实习近平新时代中国特色社会主义思想，不断强化服务职能，加强机关内部管理，积极创新工作方法，努力提高服务质量,坚持</w:t>
      </w:r>
      <w:bookmarkStart w:id="18" w:name="_GoBack"/>
      <w:bookmarkEnd w:id="18"/>
      <w:r>
        <w:rPr>
          <w:rFonts w:hint="eastAsia" w:ascii="仿宋_GB2312"/>
          <w:color w:val="auto"/>
        </w:rPr>
        <w:t>党的领导</w:t>
      </w:r>
      <w:r>
        <w:rPr>
          <w:rFonts w:hint="eastAsia" w:ascii="仿宋_GB2312"/>
          <w:color w:val="auto"/>
          <w:lang w:eastAsia="zh-CN"/>
        </w:rPr>
        <w:t>、</w:t>
      </w:r>
      <w:r>
        <w:rPr>
          <w:rFonts w:hint="eastAsia" w:ascii="仿宋_GB2312"/>
          <w:color w:val="auto"/>
        </w:rPr>
        <w:t>人民当家做主</w:t>
      </w:r>
      <w:r>
        <w:rPr>
          <w:rFonts w:hint="eastAsia" w:ascii="仿宋_GB2312"/>
          <w:color w:val="auto"/>
          <w:lang w:eastAsia="zh-CN"/>
        </w:rPr>
        <w:t>、</w:t>
      </w:r>
      <w:r>
        <w:rPr>
          <w:rFonts w:hint="eastAsia" w:ascii="仿宋_GB2312"/>
          <w:color w:val="auto"/>
        </w:rPr>
        <w:t>依法治国有机统一,把握好大局,服从于大局,进一步健全常委会依法履职的工作机制,提升人大代表的履职能力和水平</w:t>
      </w:r>
      <w:r>
        <w:rPr>
          <w:rFonts w:hint="eastAsia" w:ascii="仿宋_GB2312"/>
          <w:color w:val="auto"/>
          <w:lang w:eastAsia="zh-CN"/>
        </w:rPr>
        <w:t>。</w:t>
      </w:r>
      <w:r>
        <w:rPr>
          <w:rFonts w:hint="eastAsia" w:ascii="仿宋_GB2312"/>
          <w:color w:val="auto"/>
        </w:rPr>
        <w:t>高质量召开十八届人代会第二次会</w:t>
      </w:r>
      <w:r>
        <w:rPr>
          <w:rFonts w:hint="eastAsia" w:ascii="仿宋_GB2312"/>
          <w:color w:val="auto"/>
          <w:lang w:val="en-US" w:eastAsia="zh-CN"/>
        </w:rPr>
        <w:t>议；</w:t>
      </w:r>
      <w:r>
        <w:rPr>
          <w:rFonts w:hint="eastAsia" w:ascii="仿宋_GB2312"/>
          <w:color w:val="auto"/>
        </w:rPr>
        <w:t>规范机关管理，提高机关的工作效能；抓好全年的代表培训、代表参会及知情权的安排工作；组织好人大代表全年的调研、视察、执法检查工作。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ascii="仿宋_GB2312"/>
          <w:color w:val="auto"/>
        </w:rPr>
        <w:t>实施情况：霍城县人大机关在县人大常委会的领导下，深入贯彻落实习近平新时代中国特色社会主义思想，不断强化服务职能，加强机关内部管理，积极创新工作方法，努力提高服务质量,坚持党的领导</w:t>
      </w:r>
      <w:r>
        <w:rPr>
          <w:rFonts w:hint="eastAsia" w:ascii="仿宋_GB2312"/>
          <w:color w:val="auto"/>
          <w:lang w:eastAsia="zh-CN"/>
        </w:rPr>
        <w:t>、</w:t>
      </w:r>
      <w:r>
        <w:rPr>
          <w:rFonts w:hint="eastAsia" w:ascii="仿宋_GB2312"/>
          <w:color w:val="auto"/>
        </w:rPr>
        <w:t>人民当家做主</w:t>
      </w:r>
      <w:r>
        <w:rPr>
          <w:rFonts w:hint="eastAsia" w:ascii="仿宋_GB2312"/>
          <w:color w:val="auto"/>
          <w:lang w:eastAsia="zh-CN"/>
        </w:rPr>
        <w:t>、</w:t>
      </w:r>
      <w:r>
        <w:rPr>
          <w:rFonts w:hint="eastAsia" w:ascii="仿宋_GB2312"/>
          <w:color w:val="auto"/>
        </w:rPr>
        <w:t>依法治国有机统一,把握好大局,服从于大局,进一步健全常委会依法履职的工作机制,提升人大代表的履职能力和水平</w:t>
      </w:r>
      <w:r>
        <w:rPr>
          <w:rFonts w:hint="eastAsia" w:ascii="仿宋_GB2312"/>
          <w:color w:val="auto"/>
          <w:lang w:eastAsia="zh-CN"/>
        </w:rPr>
        <w:t>。</w:t>
      </w:r>
      <w:r>
        <w:rPr>
          <w:rFonts w:hint="eastAsia" w:ascii="仿宋_GB2312"/>
          <w:color w:val="auto"/>
        </w:rPr>
        <w:t>高质量召开十八届人代会第二次会</w:t>
      </w:r>
      <w:r>
        <w:rPr>
          <w:rFonts w:hint="eastAsia" w:ascii="仿宋_GB2312"/>
          <w:color w:val="auto"/>
          <w:lang w:val="en-US" w:eastAsia="zh-CN"/>
        </w:rPr>
        <w:t>议；</w:t>
      </w:r>
      <w:r>
        <w:rPr>
          <w:rFonts w:hint="eastAsia" w:ascii="仿宋_GB2312"/>
          <w:color w:val="auto"/>
        </w:rPr>
        <w:t>规范机关管理，提高机关的工作效能；抓好全年的代表培训、代表参会及知情权的安排工作；组织好人大代表全年的调研、视察、执法检查工作</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仿宋_GB2312" w:eastAsia="仿宋_GB2312"/>
          <w:color w:val="auto"/>
          <w:lang w:val="en-US" w:eastAsia="zh-CN"/>
        </w:rPr>
      </w:pPr>
      <w:r>
        <w:rPr>
          <w:rFonts w:hint="eastAsia" w:ascii="仿宋_GB2312"/>
          <w:color w:val="auto"/>
          <w:lang w:val="en-US" w:eastAsia="zh-CN"/>
        </w:rPr>
        <w:t>3.</w:t>
      </w:r>
      <w:r>
        <w:rPr>
          <w:rFonts w:hint="eastAsia"/>
        </w:rPr>
        <w:t>资金投入</w:t>
      </w:r>
      <w:r>
        <w:rPr>
          <w:rFonts w:hint="eastAsia"/>
          <w:lang w:eastAsia="zh-CN"/>
        </w:rPr>
        <w:t>和</w:t>
      </w:r>
      <w:r>
        <w:rPr>
          <w:rFonts w:hint="eastAsia"/>
        </w:rPr>
        <w:t>使用情况</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FF0000"/>
        </w:rPr>
      </w:pPr>
      <w:r>
        <w:rPr>
          <w:rFonts w:hint="eastAsia"/>
        </w:rPr>
        <w:t>资金投入情况：</w:t>
      </w:r>
      <w:r>
        <w:rPr>
          <w:rFonts w:hint="eastAsia"/>
          <w:color w:val="auto"/>
        </w:rPr>
        <w:t>该项目年初预算数</w:t>
      </w:r>
      <w:r>
        <w:rPr>
          <w:rFonts w:hint="eastAsia"/>
          <w:color w:val="auto"/>
          <w:lang w:val="en-US" w:eastAsia="zh-CN"/>
        </w:rPr>
        <w:t>38</w:t>
      </w:r>
      <w:r>
        <w:rPr>
          <w:rFonts w:hint="eastAsia"/>
          <w:color w:val="auto"/>
        </w:rPr>
        <w:t>万元，全年预算数</w:t>
      </w:r>
      <w:r>
        <w:rPr>
          <w:rFonts w:hint="eastAsia"/>
          <w:color w:val="auto"/>
          <w:lang w:val="en-US" w:eastAsia="zh-CN"/>
        </w:rPr>
        <w:t>38</w:t>
      </w:r>
      <w:r>
        <w:rPr>
          <w:rFonts w:hint="eastAsia"/>
          <w:color w:val="auto"/>
        </w:rPr>
        <w:t>万元，实际总投入</w:t>
      </w:r>
      <w:r>
        <w:rPr>
          <w:rFonts w:hint="eastAsia"/>
          <w:color w:val="auto"/>
          <w:lang w:val="en-US" w:eastAsia="zh-CN"/>
        </w:rPr>
        <w:t>38</w:t>
      </w:r>
      <w:r>
        <w:rPr>
          <w:rFonts w:hint="eastAsia"/>
          <w:color w:val="auto"/>
        </w:rPr>
        <w:t>万元，该项目资金已全部落实到位，资金来源为</w:t>
      </w:r>
      <w:r>
        <w:rPr>
          <w:rFonts w:hint="eastAsia" w:ascii="仿宋_GB2312"/>
          <w:color w:val="auto"/>
          <w:lang w:val="en-US" w:eastAsia="zh-CN"/>
        </w:rPr>
        <w:t>财政拨款。</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eastAsia="仿宋_GB2312"/>
          <w:color w:val="auto"/>
          <w:lang w:val="en-US" w:eastAsia="zh-CN"/>
        </w:rPr>
      </w:pPr>
      <w:r>
        <w:rPr>
          <w:rFonts w:hint="eastAsia"/>
        </w:rPr>
        <w:t>资金使用情况：</w:t>
      </w:r>
      <w:r>
        <w:rPr>
          <w:rFonts w:hint="eastAsia"/>
          <w:color w:val="auto"/>
        </w:rPr>
        <w:t>该项目年初预算数</w:t>
      </w:r>
      <w:r>
        <w:rPr>
          <w:rFonts w:hint="eastAsia"/>
          <w:color w:val="auto"/>
          <w:lang w:val="en-US" w:eastAsia="zh-CN"/>
        </w:rPr>
        <w:t>38</w:t>
      </w:r>
      <w:r>
        <w:rPr>
          <w:rFonts w:hint="eastAsia"/>
          <w:color w:val="auto"/>
        </w:rPr>
        <w:t>万元，全年预算数</w:t>
      </w:r>
      <w:r>
        <w:rPr>
          <w:rFonts w:hint="eastAsia"/>
          <w:color w:val="auto"/>
          <w:lang w:val="en-US" w:eastAsia="zh-CN"/>
        </w:rPr>
        <w:t>38</w:t>
      </w:r>
      <w:r>
        <w:rPr>
          <w:rFonts w:hint="eastAsia"/>
          <w:color w:val="auto"/>
        </w:rPr>
        <w:t>万元，全年执行数</w:t>
      </w:r>
      <w:r>
        <w:rPr>
          <w:rFonts w:hint="eastAsia"/>
          <w:color w:val="auto"/>
          <w:lang w:val="en-US" w:eastAsia="zh-CN"/>
        </w:rPr>
        <w:t>38</w:t>
      </w:r>
      <w:r>
        <w:rPr>
          <w:rFonts w:hint="eastAsia"/>
          <w:color w:val="auto"/>
        </w:rPr>
        <w:t>万元，预算执行率为</w:t>
      </w:r>
      <w:r>
        <w:rPr>
          <w:rFonts w:hint="eastAsia"/>
          <w:color w:val="auto"/>
          <w:lang w:val="en-US" w:eastAsia="zh-CN"/>
        </w:rPr>
        <w:t>100</w:t>
      </w:r>
      <w:r>
        <w:rPr>
          <w:rFonts w:hint="eastAsia"/>
          <w:color w:val="auto"/>
        </w:rPr>
        <w:t>%，用于：</w:t>
      </w:r>
      <w:r>
        <w:rPr>
          <w:rFonts w:hint="eastAsia"/>
          <w:color w:val="auto"/>
          <w:lang w:val="en-US" w:eastAsia="zh-CN"/>
        </w:rPr>
        <w:t>霍城县十八届二次人民代表大会28万元， 人大代表工作经费10万元；</w:t>
      </w:r>
    </w:p>
    <w:p>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eastAsia="仿宋_GB2312"/>
          <w:b w:val="0"/>
          <w:bCs w:val="0"/>
        </w:rPr>
      </w:pPr>
      <w:bookmarkStart w:id="2" w:name="_Toc68703829"/>
      <w:r>
        <w:rPr>
          <w:rFonts w:hint="eastAsia" w:ascii="仿宋_GB2312" w:eastAsia="仿宋_GB2312"/>
          <w:b w:val="0"/>
          <w:bCs w:val="0"/>
        </w:rPr>
        <w:t>（二）项目绩效目标。</w:t>
      </w:r>
      <w:bookmarkEnd w:id="2"/>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rPr>
          <w:rFonts w:hint="eastAsia"/>
        </w:rPr>
        <w:t>1</w:t>
      </w:r>
      <w:r>
        <w:rPr>
          <w:rFonts w:hint="eastAsia"/>
          <w:lang w:val="en-US" w:eastAsia="zh-CN"/>
        </w:rPr>
        <w:t>.</w:t>
      </w:r>
      <w:r>
        <w:rPr>
          <w:rFonts w:hint="eastAsia"/>
        </w:rPr>
        <w:t>总体目标：</w:t>
      </w:r>
      <w:r>
        <w:rPr>
          <w:rFonts w:hint="eastAsia" w:ascii="仿宋_GB2312"/>
          <w:color w:val="auto"/>
        </w:rPr>
        <w:t>霍城县人大机关在县人大常委会的领导下，深入贯彻落实习近平新时代中国特色社会主义思想，不断强化服务职能，加强机关内部管理，积极创新工作方法，努力提高服务质量,坚持党的领导</w:t>
      </w:r>
      <w:r>
        <w:rPr>
          <w:rFonts w:hint="eastAsia" w:ascii="仿宋_GB2312"/>
          <w:color w:val="auto"/>
          <w:lang w:eastAsia="zh-CN"/>
        </w:rPr>
        <w:t>、</w:t>
      </w:r>
      <w:r>
        <w:rPr>
          <w:rFonts w:hint="eastAsia" w:ascii="仿宋_GB2312"/>
          <w:color w:val="auto"/>
        </w:rPr>
        <w:t>人民当家做主</w:t>
      </w:r>
      <w:r>
        <w:rPr>
          <w:rFonts w:hint="eastAsia" w:ascii="仿宋_GB2312"/>
          <w:color w:val="auto"/>
          <w:lang w:eastAsia="zh-CN"/>
        </w:rPr>
        <w:t>、</w:t>
      </w:r>
      <w:r>
        <w:rPr>
          <w:rFonts w:hint="eastAsia" w:ascii="仿宋_GB2312"/>
          <w:color w:val="auto"/>
        </w:rPr>
        <w:t>依法治国有机统一,把握好大局,服从于大局,进一步健全常委会依法履职的工作机制,提升人大代表的履职能力和水平</w:t>
      </w:r>
      <w:r>
        <w:rPr>
          <w:rFonts w:hint="eastAsia" w:ascii="仿宋_GB2312"/>
          <w:color w:val="auto"/>
          <w:lang w:eastAsia="zh-CN"/>
        </w:rPr>
        <w:t>。</w:t>
      </w:r>
      <w:r>
        <w:rPr>
          <w:rFonts w:hint="eastAsia" w:ascii="仿宋_GB2312"/>
          <w:color w:val="auto"/>
        </w:rPr>
        <w:t>高质量召开十八届人代会第二次会</w:t>
      </w:r>
      <w:r>
        <w:rPr>
          <w:rFonts w:hint="eastAsia" w:ascii="仿宋_GB2312"/>
          <w:color w:val="auto"/>
          <w:lang w:val="en-US" w:eastAsia="zh-CN"/>
        </w:rPr>
        <w:t>议；</w:t>
      </w:r>
      <w:r>
        <w:rPr>
          <w:rFonts w:hint="eastAsia" w:ascii="仿宋_GB2312"/>
          <w:color w:val="auto"/>
        </w:rPr>
        <w:t>规范机关管理，提高机关的工作效能；抓好全年的代表培训、代表参会及知情权的安排工作；组织好人大代表全年的调研、视察、执法检查工作。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color w:val="auto"/>
        </w:rPr>
      </w:pPr>
      <w:r>
        <w:t>2</w:t>
      </w:r>
      <w:r>
        <w:rPr>
          <w:rFonts w:hint="eastAsia"/>
          <w:lang w:val="en-US" w:eastAsia="zh-CN"/>
        </w:rPr>
        <w:t>.</w:t>
      </w:r>
      <w:r>
        <w:rPr>
          <w:rFonts w:hint="eastAsia"/>
        </w:rPr>
        <w:t>阶段性目标：</w:t>
      </w:r>
      <w:r>
        <w:rPr>
          <w:rFonts w:hint="eastAsia" w:ascii="仿宋_GB2312"/>
          <w:color w:val="auto"/>
        </w:rPr>
        <w:t>霍城县人大机关在县人大常委会的领导下，深入贯彻落实习近平新时代中国特色社会主义思想，不断强化服务职能，加强机关内部管理，积极创新工作方法，努力提高服务质量,坚持党的领导</w:t>
      </w:r>
      <w:r>
        <w:rPr>
          <w:rFonts w:hint="eastAsia" w:ascii="仿宋_GB2312"/>
          <w:color w:val="auto"/>
          <w:lang w:eastAsia="zh-CN"/>
        </w:rPr>
        <w:t>、</w:t>
      </w:r>
      <w:r>
        <w:rPr>
          <w:rFonts w:hint="eastAsia" w:ascii="仿宋_GB2312"/>
          <w:color w:val="auto"/>
        </w:rPr>
        <w:t>人民当家做主</w:t>
      </w:r>
      <w:r>
        <w:rPr>
          <w:rFonts w:hint="eastAsia" w:ascii="仿宋_GB2312"/>
          <w:color w:val="auto"/>
          <w:lang w:eastAsia="zh-CN"/>
        </w:rPr>
        <w:t>、</w:t>
      </w:r>
      <w:r>
        <w:rPr>
          <w:rFonts w:hint="eastAsia" w:ascii="仿宋_GB2312"/>
          <w:color w:val="auto"/>
        </w:rPr>
        <w:t>依法治国有机统一,把握好大局,服从于大局,进一步健全常委会依法履职的工作机制,提升人大代表的履职能力和水平</w:t>
      </w:r>
      <w:r>
        <w:rPr>
          <w:rFonts w:hint="eastAsia" w:ascii="仿宋_GB2312"/>
          <w:color w:val="auto"/>
          <w:lang w:eastAsia="zh-CN"/>
        </w:rPr>
        <w:t>。</w:t>
      </w:r>
      <w:r>
        <w:rPr>
          <w:rFonts w:hint="eastAsia" w:ascii="仿宋_GB2312"/>
          <w:color w:val="auto"/>
        </w:rPr>
        <w:t>高质量召开十八届人代会第二次会</w:t>
      </w:r>
      <w:r>
        <w:rPr>
          <w:rFonts w:hint="eastAsia" w:ascii="仿宋_GB2312"/>
          <w:color w:val="auto"/>
          <w:lang w:val="en-US" w:eastAsia="zh-CN"/>
        </w:rPr>
        <w:t>议；</w:t>
      </w:r>
      <w:r>
        <w:rPr>
          <w:rFonts w:hint="eastAsia" w:ascii="仿宋_GB2312"/>
          <w:color w:val="auto"/>
        </w:rPr>
        <w:t>规范机关管理，提高机关的工作效能；抓好全年的代表培训、代表参会及知情权的安排工作；组织好人大代表全年的调研、视察、执法检查工作。</w:t>
      </w:r>
    </w:p>
    <w:p>
      <w:pPr>
        <w:pStyle w:val="2"/>
        <w:pageBreakBefore w:val="0"/>
        <w:kinsoku/>
        <w:wordWrap/>
        <w:overflowPunct/>
        <w:topLinePunct w:val="0"/>
        <w:autoSpaceDE/>
        <w:autoSpaceDN/>
        <w:bidi w:val="0"/>
        <w:adjustRightInd/>
        <w:snapToGrid/>
        <w:spacing w:before="0" w:after="0" w:line="560" w:lineRule="exact"/>
        <w:ind w:firstLine="321" w:firstLineChars="100"/>
        <w:textAlignment w:val="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pageBreakBefore w:val="0"/>
        <w:kinsoku/>
        <w:wordWrap/>
        <w:overflowPunct/>
        <w:topLinePunct w:val="0"/>
        <w:autoSpaceDE/>
        <w:autoSpaceDN/>
        <w:bidi w:val="0"/>
        <w:adjustRightInd/>
        <w:snapToGrid/>
        <w:spacing w:line="560" w:lineRule="exact"/>
        <w:textAlignment w:val="auto"/>
      </w:pPr>
      <w:r>
        <w:rPr>
          <w:rFonts w:hint="eastAsia"/>
        </w:rPr>
        <w:t>1</w:t>
      </w:r>
      <w:r>
        <w:rPr>
          <w:rFonts w:hint="eastAsia"/>
          <w:lang w:val="en-US" w:eastAsia="zh-CN"/>
        </w:rPr>
        <w:t>.</w:t>
      </w:r>
      <w:r>
        <w:rPr>
          <w:rFonts w:hint="eastAsia"/>
        </w:rPr>
        <w:t>绩效评价目的：</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通过绩效评价，客观地评判项目的管理绩效，了解和掌握2021年基层人大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p>
    <w:p>
      <w:pPr>
        <w:pageBreakBefore w:val="0"/>
        <w:kinsoku/>
        <w:wordWrap/>
        <w:overflowPunct/>
        <w:topLinePunct w:val="0"/>
        <w:autoSpaceDE/>
        <w:autoSpaceDN/>
        <w:bidi w:val="0"/>
        <w:adjustRightInd/>
        <w:snapToGrid/>
        <w:spacing w:line="560" w:lineRule="exact"/>
        <w:ind w:firstLine="600" w:firstLineChars="200"/>
        <w:jc w:val="left"/>
        <w:textAlignment w:val="auto"/>
      </w:pPr>
      <w:r>
        <w:rPr>
          <w:rFonts w:hint="eastAsia"/>
        </w:rPr>
        <w:t>2</w:t>
      </w:r>
      <w:r>
        <w:rPr>
          <w:rFonts w:hint="eastAsia"/>
          <w:lang w:val="en-US" w:eastAsia="zh-CN"/>
        </w:rPr>
        <w:t>.</w:t>
      </w:r>
      <w:r>
        <w:rPr>
          <w:rFonts w:hint="eastAsia"/>
        </w:rPr>
        <w:t>绩效评价对象：</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eastAsia="仿宋_GB2312"/>
          <w:lang w:val="en-US" w:eastAsia="zh-CN"/>
        </w:rPr>
      </w:pPr>
      <w:r>
        <w:rPr>
          <w:rFonts w:hint="eastAsia"/>
          <w:lang w:val="en-US" w:eastAsia="zh-CN"/>
        </w:rPr>
        <w:t>2022年人大会议和人大代表经费项目</w:t>
      </w:r>
    </w:p>
    <w:p>
      <w:pPr>
        <w:pageBreakBefore w:val="0"/>
        <w:kinsoku/>
        <w:wordWrap/>
        <w:overflowPunct/>
        <w:topLinePunct w:val="0"/>
        <w:autoSpaceDE/>
        <w:autoSpaceDN/>
        <w:bidi w:val="0"/>
        <w:adjustRightInd/>
        <w:snapToGrid/>
        <w:spacing w:line="560" w:lineRule="exact"/>
        <w:ind w:firstLine="600" w:firstLineChars="200"/>
        <w:textAlignment w:val="auto"/>
      </w:pPr>
      <w:r>
        <w:rPr>
          <w:rFonts w:hint="eastAsia"/>
        </w:rPr>
        <w:t>3</w:t>
      </w:r>
      <w:r>
        <w:rPr>
          <w:rFonts w:hint="eastAsia"/>
          <w:lang w:val="en-US" w:eastAsia="zh-CN"/>
        </w:rPr>
        <w:t>.</w:t>
      </w:r>
      <w:r>
        <w:rPr>
          <w:rFonts w:hint="eastAsia"/>
        </w:rPr>
        <w:t>绩效评价范围：</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color w:val="auto"/>
          <w:lang w:val="en-US" w:eastAsia="zh-CN"/>
        </w:rPr>
        <w:t>2022年人大会议和人大代表项目</w:t>
      </w:r>
      <w:r>
        <w:rPr>
          <w:rFonts w:hint="eastAsia"/>
          <w:color w:val="auto"/>
        </w:rPr>
        <w:t>评价，评价核心为资金的支出完成情况和效果。</w:t>
      </w:r>
    </w:p>
    <w:p>
      <w:pPr>
        <w:pStyle w:val="3"/>
        <w:pageBreakBefore w:val="0"/>
        <w:kinsoku/>
        <w:wordWrap/>
        <w:overflowPunct/>
        <w:topLinePunct w:val="0"/>
        <w:autoSpaceDE/>
        <w:autoSpaceDN/>
        <w:bidi w:val="0"/>
        <w:adjustRightInd/>
        <w:snapToGrid/>
        <w:spacing w:before="0" w:after="0" w:line="560" w:lineRule="exact"/>
        <w:ind w:firstLine="320" w:firstLineChars="100"/>
        <w:textAlignment w:val="auto"/>
        <w:rPr>
          <w:rFonts w:hint="eastAsia"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1</w:t>
      </w:r>
      <w:r>
        <w:rPr>
          <w:rFonts w:hint="eastAsia"/>
          <w:lang w:val="en-US" w:eastAsia="zh-CN"/>
        </w:rPr>
        <w:t>.</w:t>
      </w:r>
      <w:r>
        <w:rPr>
          <w:rFonts w:hint="eastAsia"/>
        </w:rPr>
        <w:t>绩效评价原则</w:t>
      </w:r>
    </w:p>
    <w:p>
      <w:pPr>
        <w:pageBreakBefore w:val="0"/>
        <w:kinsoku/>
        <w:wordWrap/>
        <w:overflowPunct/>
        <w:topLinePunct w:val="0"/>
        <w:autoSpaceDE/>
        <w:autoSpaceDN/>
        <w:bidi w:val="0"/>
        <w:adjustRightInd/>
        <w:snapToGrid/>
        <w:spacing w:line="560" w:lineRule="exact"/>
        <w:ind w:firstLine="640"/>
        <w:textAlignment w:val="auto"/>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0"/>
        <w:textAlignment w:val="auto"/>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pageBreakBefore w:val="0"/>
        <w:kinsoku/>
        <w:wordWrap/>
        <w:overflowPunct/>
        <w:topLinePunct w:val="0"/>
        <w:autoSpaceDE/>
        <w:autoSpaceDN/>
        <w:bidi w:val="0"/>
        <w:adjustRightInd/>
        <w:snapToGrid/>
        <w:spacing w:line="560" w:lineRule="exact"/>
        <w:ind w:firstLine="640"/>
        <w:textAlignment w:val="auto"/>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textAlignment w:val="auto"/>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lang w:val="en-US" w:eastAsia="zh-CN"/>
        </w:rPr>
        <w:t>霍城县人民政府</w:t>
      </w:r>
      <w:r>
        <w:rPr>
          <w:rFonts w:hint="eastAsia" w:ascii="仿宋_GB2312"/>
          <w:bCs/>
          <w:color w:val="auto"/>
          <w:sz w:val="32"/>
          <w:szCs w:val="32"/>
        </w:rPr>
        <w:t>网站上，并自觉接受社会监督。</w:t>
      </w:r>
    </w:p>
    <w:p>
      <w:pPr>
        <w:pageBreakBefore w:val="0"/>
        <w:kinsoku/>
        <w:wordWrap/>
        <w:overflowPunct/>
        <w:topLinePunct w:val="0"/>
        <w:autoSpaceDE/>
        <w:autoSpaceDN/>
        <w:bidi w:val="0"/>
        <w:adjustRightInd/>
        <w:snapToGrid/>
        <w:spacing w:line="560" w:lineRule="exact"/>
        <w:textAlignment w:val="auto"/>
        <w:rPr>
          <w:color w:val="auto"/>
        </w:rPr>
      </w:pP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2、评价指标体系（附表说明）</w:t>
      </w:r>
    </w:p>
    <w:p>
      <w:pPr>
        <w:pStyle w:val="3"/>
        <w:pageBreakBefore w:val="0"/>
        <w:kinsoku/>
        <w:wordWrap/>
        <w:overflowPunct/>
        <w:topLinePunct w:val="0"/>
        <w:autoSpaceDE/>
        <w:autoSpaceDN/>
        <w:bidi w:val="0"/>
        <w:adjustRightInd/>
        <w:snapToGrid/>
        <w:spacing w:before="0" w:after="0" w:line="560" w:lineRule="exact"/>
        <w:jc w:val="center"/>
        <w:textAlignment w:val="auto"/>
        <w:rPr>
          <w:rFonts w:ascii="Times New Roman" w:hAnsi="Times New Roman" w:eastAsia="仿宋_GB2312" w:cs="Times New Roman"/>
          <w:b w:val="0"/>
          <w:bCs w:val="0"/>
          <w:sz w:val="30"/>
          <w:szCs w:val="24"/>
        </w:rPr>
      </w:pPr>
      <w:r>
        <w:rPr>
          <w:rFonts w:hint="eastAsia" w:ascii="仿宋" w:hAnsi="仿宋" w:eastAsia="仿宋" w:cs="仿宋"/>
          <w:b w:val="0"/>
          <w:bCs w:val="0"/>
          <w:sz w:val="30"/>
          <w:szCs w:val="30"/>
          <w:lang w:val="en-US" w:eastAsia="zh-CN"/>
        </w:rPr>
        <w:t>2022年人大会议和人大代表经费</w:t>
      </w:r>
      <w:r>
        <w:rPr>
          <w:rFonts w:hint="eastAsia" w:ascii="Times New Roman" w:hAnsi="Times New Roman" w:eastAsia="仿宋_GB2312" w:cs="Times New Roman"/>
          <w:b w:val="0"/>
          <w:bCs w:val="0"/>
          <w:sz w:val="30"/>
          <w:szCs w:val="24"/>
        </w:rPr>
        <w:t>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2.5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2.5</w:t>
            </w:r>
          </w:p>
        </w:tc>
        <w:tc>
          <w:tcPr>
            <w:tcW w:w="874" w:type="dxa"/>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eastAsia" w:eastAsia="仿宋_GB2312"/>
                <w:lang w:val="en-US" w:eastAsia="zh-CN"/>
              </w:rPr>
            </w:pPr>
            <w:r>
              <w:rPr>
                <w:rFonts w:hint="eastAsia"/>
                <w:lang w:val="en-US" w:eastAsia="zh-CN"/>
              </w:rPr>
              <w:t>5</w:t>
            </w:r>
          </w:p>
        </w:tc>
        <w:tc>
          <w:tcPr>
            <w:tcW w:w="874" w:type="dxa"/>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auto"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478"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1875" w:type="dxa"/>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pageBreakBefore w:val="0"/>
              <w:kinsoku/>
              <w:wordWrap/>
              <w:overflowPunct/>
              <w:topLinePunct w:val="0"/>
              <w:autoSpaceDE/>
              <w:autoSpaceDN/>
              <w:bidi w:val="0"/>
              <w:adjustRightInd/>
              <w:snapToGrid/>
              <w:spacing w:line="560" w:lineRule="exact"/>
              <w:jc w:val="center"/>
              <w:textAlignment w:val="auto"/>
              <w:rPr>
                <w:rFonts w:hint="default" w:eastAsia="仿宋_GB2312"/>
                <w:lang w:val="en-US" w:eastAsia="zh-CN"/>
              </w:rPr>
            </w:pPr>
            <w:r>
              <w:rPr>
                <w:rFonts w:hint="eastAsia"/>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560" w:lineRule="exact"/>
              <w:jc w:val="center"/>
              <w:textAlignment w:val="auto"/>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22"/>
              </w:rPr>
            </w:pPr>
          </w:p>
        </w:tc>
        <w:tc>
          <w:tcPr>
            <w:tcW w:w="990" w:type="dxa"/>
            <w:tcBorders>
              <w:left w:val="single" w:color="auto" w:sz="4" w:space="0"/>
            </w:tcBorders>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pageBreakBefore w:val="0"/>
        <w:kinsoku/>
        <w:wordWrap/>
        <w:overflowPunct/>
        <w:topLinePunct w:val="0"/>
        <w:autoSpaceDE/>
        <w:autoSpaceDN/>
        <w:bidi w:val="0"/>
        <w:adjustRightInd/>
        <w:snapToGrid/>
        <w:spacing w:line="560" w:lineRule="exact"/>
        <w:textAlignment w:val="auto"/>
        <w:sectPr>
          <w:pgSz w:w="11906" w:h="16838"/>
          <w:pgMar w:top="1928" w:right="1531" w:bottom="1701" w:left="1531" w:header="737" w:footer="851" w:gutter="0"/>
          <w:cols w:space="720" w:num="1"/>
          <w:docGrid w:type="lines" w:linePitch="408" w:charSpace="0"/>
        </w:sectPr>
      </w:pP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3、评价方法</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该项目支出采用公众评判法。原因是：该项目支出遵循科学规范、全面系统、客观公正和绩效相关的工作原则，对评价指标体系进行综合评分，从定量和定性两方面对项目实施绩效进行评价，通过专家评估、公众问卷及抽样调查等方式进行评判。</w:t>
      </w: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4</w:t>
      </w:r>
      <w:r>
        <w:rPr>
          <w:rFonts w:hint="eastAsia"/>
          <w:lang w:val="en-US" w:eastAsia="zh-CN"/>
        </w:rPr>
        <w:t>.</w:t>
      </w:r>
      <w:r>
        <w:rPr>
          <w:rFonts w:hint="eastAsia"/>
        </w:rPr>
        <w:t>评价标准</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lang w:val="en-US" w:eastAsia="zh-CN"/>
        </w:rPr>
      </w:pPr>
      <w:bookmarkStart w:id="6" w:name="_Toc68703833"/>
      <w:r>
        <w:rPr>
          <w:rFonts w:hint="eastAsia" w:ascii="仿宋_GB2312"/>
          <w:lang w:val="en-US" w:eastAsia="zh-CN"/>
        </w:rPr>
        <w:t>本次项目绩效评价标采用历史标准。原因是：参照2020年项目绩效评价标准及2021年项目绩效评价标准，针对重点项目 指标等方面进行改进提高，使得此次绩效评价更科学、更标准、更符合实际。</w:t>
      </w:r>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r>
        <w:rPr>
          <w:rFonts w:hint="eastAsia" w:ascii="仿宋_GB2312" w:eastAsia="仿宋_GB2312"/>
          <w:b w:val="0"/>
          <w:bCs w:val="0"/>
        </w:rPr>
        <w:t>（三）绩效评价工作过程。</w:t>
      </w:r>
      <w:bookmarkEnd w:id="6"/>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1</w:t>
      </w:r>
      <w:r>
        <w:rPr>
          <w:rFonts w:hint="eastAsia"/>
          <w:lang w:val="en-US" w:eastAsia="zh-CN"/>
        </w:rPr>
        <w:t>.</w:t>
      </w:r>
      <w:r>
        <w:rPr>
          <w:rFonts w:hint="eastAsia"/>
        </w:rPr>
        <w:t>前期准备：</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2</w:t>
      </w:r>
      <w:r>
        <w:rPr>
          <w:rFonts w:hint="eastAsia"/>
          <w:lang w:val="en-US" w:eastAsia="zh-CN"/>
        </w:rPr>
        <w:t>.</w:t>
      </w:r>
      <w:r>
        <w:rPr>
          <w:rFonts w:hint="eastAsia"/>
        </w:rPr>
        <w:t>组织实施：</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2</w:t>
      </w:r>
      <w:r>
        <w:rPr>
          <w:color w:val="auto"/>
        </w:rPr>
        <w:t>02</w:t>
      </w:r>
      <w:r>
        <w:rPr>
          <w:rFonts w:hint="eastAsia"/>
          <w:color w:val="auto"/>
          <w:lang w:val="en-US" w:eastAsia="zh-CN"/>
        </w:rPr>
        <w:t>3</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3</w:t>
      </w:r>
      <w:r>
        <w:rPr>
          <w:rFonts w:hint="eastAsia"/>
          <w:lang w:val="en-US" w:eastAsia="zh-CN"/>
        </w:rPr>
        <w:t>.</w:t>
      </w:r>
      <w:r>
        <w:rPr>
          <w:rFonts w:hint="eastAsia"/>
        </w:rPr>
        <w:t>分析评价：</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rPr>
      </w:pPr>
      <w:r>
        <w:rPr>
          <w:rFonts w:hint="eastAsia" w:ascii="仿宋" w:hAnsi="仿宋" w:eastAsia="仿宋" w:cs="仿宋"/>
          <w:b w:val="0"/>
          <w:bCs w:val="0"/>
          <w:color w:val="auto"/>
        </w:rPr>
        <w:t>202</w:t>
      </w:r>
      <w:r>
        <w:rPr>
          <w:rFonts w:hint="eastAsia" w:ascii="仿宋" w:hAnsi="仿宋" w:eastAsia="仿宋" w:cs="仿宋"/>
          <w:b w:val="0"/>
          <w:bCs w:val="0"/>
          <w:color w:val="auto"/>
          <w:lang w:val="en-US" w:eastAsia="zh-CN"/>
        </w:rPr>
        <w:t>3</w:t>
      </w:r>
      <w:r>
        <w:rPr>
          <w:rFonts w:hint="eastAsia" w:ascii="仿宋" w:hAnsi="仿宋" w:eastAsia="仿宋" w:cs="仿宋"/>
          <w:b w:val="0"/>
          <w:bCs w:val="0"/>
          <w:color w:val="auto"/>
        </w:rPr>
        <w:t>年</w:t>
      </w:r>
      <w:r>
        <w:rPr>
          <w:rFonts w:hint="eastAsia" w:ascii="仿宋" w:hAnsi="仿宋" w:eastAsia="仿宋" w:cs="仿宋"/>
          <w:b w:val="0"/>
          <w:bCs w:val="0"/>
          <w:color w:val="auto"/>
          <w:lang w:val="en-US" w:eastAsia="zh-CN"/>
        </w:rPr>
        <w:t>3 月15日- 3月25日</w:t>
      </w:r>
      <w:r>
        <w:rPr>
          <w:rFonts w:hint="eastAsia" w:ascii="仿宋" w:hAnsi="仿宋" w:eastAsia="仿宋" w:cs="仿宋"/>
          <w:color w:val="auto"/>
        </w:rPr>
        <w:t>，评价组按照绩效评价的原则和规范，对取得的资料进行审查核实，对采集的数据进行分析，按照绩效评价指标评分表逐项进行打分、分析，汇总各方评价结果，综合分析并形成评价结论。</w:t>
      </w:r>
    </w:p>
    <w:p>
      <w:pPr>
        <w:pStyle w:val="2"/>
        <w:pageBreakBefore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8" w:name="_Toc68703835"/>
      <w:r>
        <w:rPr>
          <w:rFonts w:hint="eastAsia" w:ascii="仿宋_GB2312" w:eastAsia="仿宋_GB2312"/>
          <w:b w:val="0"/>
          <w:bCs w:val="0"/>
        </w:rPr>
        <w:t>（一）综合评价情况</w:t>
      </w:r>
      <w:bookmarkEnd w:id="8"/>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ascii="仿宋_GB2312"/>
          <w:lang w:val="en-US" w:eastAsia="zh-CN"/>
        </w:rPr>
        <w:t>本项目严格按照科学公正、统筹兼顾、激励约束、公开透明的绩效评价原则，采用公众评判法，坚持历史标准对本项目的立项、项绩效目标、资金投入、资金管理、组织实施、产出数量、产出质量、产出时效、产出成本、项目效益进行了综合评价。</w:t>
      </w:r>
    </w:p>
    <w:p>
      <w:pPr>
        <w:pageBreakBefore w:val="0"/>
        <w:kinsoku/>
        <w:wordWrap/>
        <w:overflowPunct/>
        <w:topLinePunct w:val="0"/>
        <w:autoSpaceDE/>
        <w:autoSpaceDN/>
        <w:bidi w:val="0"/>
        <w:adjustRightInd/>
        <w:snapToGrid/>
        <w:spacing w:line="560" w:lineRule="exact"/>
        <w:ind w:firstLine="600" w:firstLineChars="200"/>
        <w:jc w:val="center"/>
        <w:textAlignment w:val="auto"/>
        <w:rPr>
          <w:color w:val="auto"/>
        </w:rPr>
      </w:pPr>
      <w:r>
        <w:rPr>
          <w:rFonts w:hint="eastAsia"/>
          <w:color w:val="auto"/>
          <w:lang w:val="en-US" w:eastAsia="zh-CN"/>
        </w:rPr>
        <w:t>2022年人大会议和人大代表经费</w:t>
      </w:r>
      <w:r>
        <w:rPr>
          <w:rFonts w:hint="eastAsia"/>
          <w:color w:val="auto"/>
        </w:rPr>
        <w:t>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color w:val="000000"/>
                <w:sz w:val="22"/>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lang w:val="en-US" w:eastAsia="zh-CN"/>
              </w:rPr>
              <w:t>100</w:t>
            </w:r>
          </w:p>
        </w:tc>
      </w:tr>
    </w:tbl>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9" w:name="_Toc68703836"/>
      <w:r>
        <w:rPr>
          <w:rFonts w:hint="eastAsia" w:ascii="仿宋_GB2312" w:eastAsia="仿宋_GB2312"/>
          <w:b w:val="0"/>
          <w:bCs w:val="0"/>
        </w:rPr>
        <w:t>（二）评价结论</w:t>
      </w:r>
      <w:bookmarkEnd w:id="9"/>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本项目的项目决策、项目过程、项目产出、项目效益均达到了预期要求，最终得分为100分，评价等级为“优”，项目达成年度指标。</w:t>
      </w:r>
    </w:p>
    <w:p>
      <w:pPr>
        <w:pStyle w:val="2"/>
        <w:pageBreakBefore w:val="0"/>
        <w:kinsoku/>
        <w:wordWrap/>
        <w:overflowPunct/>
        <w:topLinePunct w:val="0"/>
        <w:autoSpaceDE/>
        <w:autoSpaceDN/>
        <w:bidi w:val="0"/>
        <w:adjustRightInd/>
        <w:snapToGrid/>
        <w:spacing w:before="0" w:after="0" w:line="560" w:lineRule="exact"/>
        <w:textAlignment w:val="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11" w:name="_Toc68703838"/>
      <w:r>
        <w:rPr>
          <w:rFonts w:hint="eastAsia" w:ascii="仿宋_GB2312" w:eastAsia="仿宋_GB2312"/>
          <w:b w:val="0"/>
          <w:bCs w:val="0"/>
        </w:rPr>
        <w:t>（一）项目决策情况。</w:t>
      </w:r>
      <w:bookmarkEnd w:id="11"/>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1</w:t>
      </w:r>
      <w:r>
        <w:rPr>
          <w:rFonts w:hint="eastAsia"/>
          <w:lang w:val="en-US" w:eastAsia="zh-CN"/>
        </w:rPr>
        <w:t>.</w:t>
      </w:r>
      <w:r>
        <w:rPr>
          <w:rFonts w:hint="eastAsia"/>
        </w:rPr>
        <w:t>立项依据充分性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根据霍城县财政局下达的《关于下达2022年度部门预算指标的通知》（霍财预[2022]1号）精神，</w:t>
      </w:r>
      <w:r>
        <w:rPr>
          <w:rFonts w:hint="eastAsia" w:ascii="仿宋_GB2312" w:hAnsi="宋体" w:eastAsia="仿宋_GB2312" w:cs="宋体"/>
          <w:bCs/>
          <w:color w:val="000000"/>
          <w:kern w:val="0"/>
          <w:sz w:val="32"/>
          <w:szCs w:val="32"/>
        </w:rPr>
        <w:t>县人大常委会办公室收到县财政拨付</w:t>
      </w:r>
      <w:r>
        <w:rPr>
          <w:rFonts w:hint="eastAsia" w:ascii="仿宋_GB2312" w:hAnsi="宋体" w:cs="宋体"/>
          <w:bCs/>
          <w:color w:val="000000"/>
          <w:kern w:val="0"/>
          <w:sz w:val="32"/>
          <w:szCs w:val="32"/>
          <w:lang w:val="en-US" w:eastAsia="zh-CN"/>
        </w:rPr>
        <w:t>人大代表会议和人大代表工作</w:t>
      </w:r>
      <w:r>
        <w:rPr>
          <w:rFonts w:hint="eastAsia" w:ascii="仿宋_GB2312" w:hAnsi="宋体" w:eastAsia="仿宋_GB2312" w:cs="宋体"/>
          <w:bCs/>
          <w:color w:val="000000"/>
          <w:kern w:val="0"/>
          <w:sz w:val="32"/>
          <w:szCs w:val="32"/>
        </w:rPr>
        <w:t>补助经费</w:t>
      </w:r>
      <w:r>
        <w:rPr>
          <w:rFonts w:hint="eastAsia" w:ascii="仿宋_GB2312" w:hAnsi="宋体" w:cs="宋体"/>
          <w:bCs/>
          <w:color w:val="000000"/>
          <w:kern w:val="0"/>
          <w:sz w:val="32"/>
          <w:szCs w:val="32"/>
          <w:lang w:val="en-US" w:eastAsia="zh-CN"/>
        </w:rPr>
        <w:t>38</w:t>
      </w:r>
      <w:r>
        <w:rPr>
          <w:rFonts w:hint="eastAsia" w:ascii="仿宋_GB2312" w:hAnsi="宋体" w:eastAsia="仿宋_GB2312" w:cs="宋体"/>
          <w:bCs/>
          <w:color w:val="000000"/>
          <w:kern w:val="0"/>
          <w:sz w:val="32"/>
          <w:szCs w:val="32"/>
        </w:rPr>
        <w:t>万元</w:t>
      </w:r>
      <w:r>
        <w:rPr>
          <w:rFonts w:hint="eastAsia" w:ascii="仿宋_GB2312"/>
          <w:lang w:val="en-US" w:eastAsia="zh-CN"/>
        </w:rPr>
        <w:t>。为全面实施预算绩效管理，建立健全财政支出绩效评价机制，推进绩效管理制度化、规范化，提高财政资金使用效益。符合国家法律法规、国民经济发展规划和相关政策；符合行业发展规划和政策要求；与部门职责范围相符属于部门履职所需；属于公共财政支持范围，符合中央、地方事权支出责任划分原则；未与相关部门同类项目或部门内部相关项目重复。</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2</w:t>
      </w:r>
      <w:r>
        <w:rPr>
          <w:rFonts w:hint="eastAsia"/>
          <w:lang w:val="en-US" w:eastAsia="zh-CN"/>
        </w:rPr>
        <w:t>.</w:t>
      </w:r>
      <w:r>
        <w:rPr>
          <w:rFonts w:hint="eastAsia"/>
        </w:rPr>
        <w:t>立项程序规范性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lang w:val="en-US" w:eastAsia="zh-CN"/>
        </w:rPr>
      </w:pPr>
      <w:r>
        <w:rPr>
          <w:rFonts w:hint="eastAsia" w:ascii="仿宋_GB2312"/>
          <w:lang w:val="en-US" w:eastAsia="zh-CN"/>
        </w:rPr>
        <w:t>该项目按照规定的程序申请设立，审批文件、材料符合相关要求；事前已经过必要的可行性研究，专家论证，风险评估、绩效评估、集体决策。</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3</w:t>
      </w:r>
      <w:r>
        <w:rPr>
          <w:rFonts w:hint="eastAsia"/>
          <w:lang w:val="en-US" w:eastAsia="zh-CN"/>
        </w:rPr>
        <w:t>.</w:t>
      </w:r>
      <w:r>
        <w:rPr>
          <w:rFonts w:hint="eastAsia"/>
        </w:rPr>
        <w:t>绩效目标合理性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lang w:val="en-US" w:eastAsia="zh-CN"/>
        </w:rPr>
      </w:pPr>
      <w:r>
        <w:rPr>
          <w:rFonts w:hint="eastAsia"/>
          <w:color w:val="auto"/>
          <w:lang w:val="en-US" w:eastAsia="zh-CN"/>
        </w:rPr>
        <w:t>2022年人大会议和人大代表经费</w:t>
      </w:r>
      <w:r>
        <w:rPr>
          <w:rFonts w:hint="eastAsia" w:ascii="仿宋_GB2312"/>
          <w:lang w:val="en-US" w:eastAsia="zh-CN"/>
        </w:rPr>
        <w:t>项目设立了项目绩效目标，与2020年基层人大补助经费项目绩效评价具有相关性，项目的预期产出效益和效果也均能符合正常的业绩水平，并且与预算确定的项目投资额或资金相匹配。</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4</w:t>
      </w:r>
      <w:r>
        <w:rPr>
          <w:rFonts w:hint="eastAsia"/>
          <w:lang w:val="en-US" w:eastAsia="zh-CN"/>
        </w:rPr>
        <w:t>.</w:t>
      </w:r>
      <w:r>
        <w:rPr>
          <w:rFonts w:hint="eastAsia"/>
        </w:rPr>
        <w:t>绩效指标明确性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FF0000"/>
        </w:rPr>
      </w:pPr>
      <w:bookmarkStart w:id="12" w:name="_Hlk68699917"/>
      <w:r>
        <w:rPr>
          <w:rFonts w:hint="eastAsia" w:ascii="仿宋_GB2312"/>
          <w:lang w:val="en-US" w:eastAsia="zh-CN"/>
        </w:rPr>
        <w:t>该项目将项目绩效目标细化分解为具体的绩效指标，一级指标共3条，二级指标共7条，三级指标共12条，其中量化指标条数共10条，所有绩效指标均通过清晰、可衡量的指标值予以体现，并且做到了与项目目标任务数或计划数相对应。</w:t>
      </w:r>
      <w:bookmarkEnd w:id="12"/>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5</w:t>
      </w:r>
      <w:r>
        <w:rPr>
          <w:rFonts w:hint="eastAsia"/>
          <w:lang w:val="en-US" w:eastAsia="zh-CN"/>
        </w:rPr>
        <w:t>.</w:t>
      </w:r>
      <w:r>
        <w:rPr>
          <w:rFonts w:hint="eastAsia"/>
        </w:rPr>
        <w:t>预算编制科学性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该项目经过科学论证编，预算内容与项目内容匹配；预算额度测算依据充分，按照标准编制；预算确定的项目投资额或资金量与工作任务相匹配。</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6</w:t>
      </w:r>
      <w:r>
        <w:rPr>
          <w:rFonts w:hint="eastAsia"/>
          <w:lang w:val="en-US" w:eastAsia="zh-CN"/>
        </w:rPr>
        <w:t>.</w:t>
      </w:r>
      <w:r>
        <w:rPr>
          <w:rFonts w:hint="eastAsia"/>
        </w:rPr>
        <w:t>资金分配合理性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eastAsia="仿宋_GB2312"/>
          <w:color w:val="auto"/>
          <w:lang w:val="en-US" w:eastAsia="zh-CN"/>
        </w:rPr>
      </w:pPr>
      <w:bookmarkStart w:id="13" w:name="_Toc68703839"/>
      <w:r>
        <w:rPr>
          <w:rFonts w:hint="eastAsia" w:ascii="仿宋_GB2312"/>
          <w:lang w:val="en-US" w:eastAsia="zh-CN"/>
        </w:rPr>
        <w:t>该项目预算资金分配依据充分，资金分配额度合理，与项目单位或地方实际相适应。</w:t>
      </w:r>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r>
        <w:rPr>
          <w:rFonts w:hint="eastAsia" w:ascii="仿宋_GB2312" w:eastAsia="仿宋_GB2312"/>
          <w:b w:val="0"/>
          <w:bCs w:val="0"/>
        </w:rPr>
        <w:t>（二）项目过程情况。</w:t>
      </w:r>
      <w:bookmarkEnd w:id="13"/>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1</w:t>
      </w:r>
      <w:r>
        <w:rPr>
          <w:rFonts w:hint="eastAsia"/>
          <w:lang w:val="en-US" w:eastAsia="zh-CN"/>
        </w:rPr>
        <w:t>.</w:t>
      </w:r>
      <w:r>
        <w:rPr>
          <w:rFonts w:hint="eastAsia"/>
        </w:rPr>
        <w:t>资金到位率：</w:t>
      </w:r>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预算资金</w:t>
      </w:r>
      <w:r>
        <w:rPr>
          <w:rFonts w:hint="eastAsia"/>
          <w:color w:val="auto"/>
          <w:lang w:val="en-US" w:eastAsia="zh-CN"/>
        </w:rPr>
        <w:t>38</w:t>
      </w:r>
      <w:r>
        <w:rPr>
          <w:rFonts w:hint="eastAsia"/>
          <w:color w:val="auto"/>
        </w:rPr>
        <w:t>万元，实际到位资金</w:t>
      </w:r>
      <w:r>
        <w:rPr>
          <w:rFonts w:hint="eastAsia"/>
          <w:color w:val="auto"/>
          <w:lang w:val="en-US" w:eastAsia="zh-CN"/>
        </w:rPr>
        <w:t>38</w:t>
      </w:r>
      <w:r>
        <w:rPr>
          <w:rFonts w:hint="eastAsia"/>
          <w:color w:val="auto"/>
        </w:rPr>
        <w:t>万元，资金到位率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2</w:t>
      </w:r>
      <w:r>
        <w:rPr>
          <w:rFonts w:hint="eastAsia"/>
          <w:lang w:val="en-US" w:eastAsia="zh-CN"/>
        </w:rPr>
        <w:t>.</w:t>
      </w:r>
      <w:r>
        <w:rPr>
          <w:rFonts w:hint="eastAsia"/>
        </w:rPr>
        <w:t>预算执行率</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val="en-US" w:eastAsia="zh-CN"/>
        </w:rPr>
      </w:pPr>
      <w:r>
        <w:rPr>
          <w:rFonts w:hint="eastAsia"/>
          <w:color w:val="auto"/>
        </w:rPr>
        <w:t>年初预算数</w:t>
      </w:r>
      <w:r>
        <w:rPr>
          <w:rFonts w:hint="eastAsia"/>
          <w:color w:val="auto"/>
          <w:lang w:val="en-US" w:eastAsia="zh-CN"/>
        </w:rPr>
        <w:t>38</w:t>
      </w:r>
      <w:r>
        <w:rPr>
          <w:rFonts w:hint="eastAsia"/>
          <w:color w:val="auto"/>
        </w:rPr>
        <w:t>万元，全年预算数</w:t>
      </w:r>
      <w:r>
        <w:rPr>
          <w:rFonts w:hint="eastAsia"/>
          <w:color w:val="auto"/>
          <w:lang w:val="en-US" w:eastAsia="zh-CN"/>
        </w:rPr>
        <w:t>38</w:t>
      </w:r>
      <w:r>
        <w:rPr>
          <w:rFonts w:hint="eastAsia"/>
          <w:color w:val="auto"/>
        </w:rPr>
        <w:t>万元，全年执行数</w:t>
      </w:r>
      <w:r>
        <w:rPr>
          <w:rFonts w:hint="eastAsia"/>
          <w:color w:val="auto"/>
          <w:lang w:val="en-US" w:eastAsia="zh-CN"/>
        </w:rPr>
        <w:t>38</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3</w:t>
      </w:r>
      <w:r>
        <w:rPr>
          <w:rFonts w:hint="eastAsia"/>
          <w:lang w:val="en-US" w:eastAsia="zh-CN"/>
        </w:rPr>
        <w:t>.</w:t>
      </w:r>
      <w:r>
        <w:rPr>
          <w:rFonts w:hint="eastAsia"/>
        </w:rPr>
        <w:t>资金使用合规性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lang w:val="en-US" w:eastAsia="zh-CN"/>
        </w:rPr>
      </w:pPr>
      <w:r>
        <w:rPr>
          <w:rFonts w:hint="eastAsia" w:ascii="仿宋_GB2312"/>
          <w:lang w:val="en-US" w:eastAsia="zh-CN"/>
        </w:rPr>
        <w:t>该项目符合国家财经法规和财务管理制度以及有关专项资金管理办法的规定；资金的拨付有完整的审批程序和手续；符合项目预算批复或合同规定的用途；不存在截留、挤占、挪用、虚列支出等情况。</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4</w:t>
      </w:r>
      <w:r>
        <w:rPr>
          <w:rFonts w:hint="eastAsia"/>
          <w:lang w:val="en-US" w:eastAsia="zh-CN"/>
        </w:rPr>
        <w:t>.</w:t>
      </w:r>
      <w:r>
        <w:rPr>
          <w:rFonts w:hint="eastAsia"/>
        </w:rPr>
        <w:t>管理制度健全性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ascii="仿宋_GB2312"/>
          <w:lang w:val="en-US" w:eastAsia="zh-CN"/>
        </w:rPr>
        <w:t>该项目已制定或具有相应的财务和业务管理制度；财务和业务管理制度合法、合规、完整</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jc w:val="left"/>
        <w:textAlignment w:val="auto"/>
        <w:rPr>
          <w:rFonts w:hint="eastAsia"/>
        </w:rPr>
      </w:pPr>
      <w:r>
        <w:rPr>
          <w:rFonts w:hint="eastAsia"/>
        </w:rPr>
        <w:t>5</w:t>
      </w:r>
      <w:r>
        <w:rPr>
          <w:rFonts w:hint="eastAsia"/>
          <w:lang w:val="en-US" w:eastAsia="zh-CN"/>
        </w:rPr>
        <w:t>.</w:t>
      </w:r>
      <w:r>
        <w:rPr>
          <w:rFonts w:hint="eastAsia"/>
        </w:rPr>
        <w:t>制度执行有效性</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_GB2312"/>
          <w:lang w:val="en-US" w:eastAsia="zh-CN"/>
        </w:rPr>
      </w:pPr>
      <w:r>
        <w:rPr>
          <w:rFonts w:hint="eastAsia" w:ascii="仿宋_GB2312"/>
          <w:lang w:val="en-US" w:eastAsia="zh-CN"/>
        </w:rPr>
        <w:t>该项目遵守相关法律法规和相关管理规定；调整及支出调整手续完备；项目合同书、验收报告、技术鉴定等资料齐全并及时归档；项目实施的人员条件、场地设备、信息支撑等落实到位。</w:t>
      </w:r>
    </w:p>
    <w:p>
      <w:pPr>
        <w:pageBreakBefore w:val="0"/>
        <w:kinsoku/>
        <w:wordWrap/>
        <w:overflowPunct/>
        <w:topLinePunct w:val="0"/>
        <w:autoSpaceDE/>
        <w:autoSpaceDN/>
        <w:bidi w:val="0"/>
        <w:adjustRightInd/>
        <w:snapToGrid/>
        <w:spacing w:line="560" w:lineRule="exact"/>
        <w:textAlignment w:val="auto"/>
        <w:rPr>
          <w:color w:val="FF0000"/>
        </w:rPr>
      </w:pPr>
    </w:p>
    <w:p>
      <w:pPr>
        <w:pStyle w:val="3"/>
        <w:pageBreakBefore w:val="0"/>
        <w:kinsoku/>
        <w:wordWrap/>
        <w:overflowPunct/>
        <w:topLinePunct w:val="0"/>
        <w:autoSpaceDE/>
        <w:autoSpaceDN/>
        <w:bidi w:val="0"/>
        <w:adjustRightInd/>
        <w:snapToGrid/>
        <w:spacing w:before="0" w:after="0" w:line="560" w:lineRule="exact"/>
        <w:textAlignment w:val="auto"/>
        <w:rPr>
          <w:color w:val="FF0000"/>
        </w:rPr>
      </w:pPr>
      <w:bookmarkStart w:id="14" w:name="_Toc68703840"/>
      <w:r>
        <w:rPr>
          <w:rFonts w:hint="eastAsia" w:ascii="仿宋_GB2312" w:eastAsia="仿宋_GB2312"/>
          <w:b w:val="0"/>
          <w:bCs w:val="0"/>
        </w:rPr>
        <w:t>（三）项目产出情况。</w:t>
      </w:r>
      <w:bookmarkEnd w:id="14"/>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rPr>
        <w:t>1</w:t>
      </w:r>
      <w:r>
        <w:rPr>
          <w:rFonts w:hint="eastAsia"/>
          <w:color w:val="auto"/>
          <w:lang w:val="en-US" w:eastAsia="zh-CN"/>
        </w:rPr>
        <w:t>.</w:t>
      </w:r>
      <w:r>
        <w:rPr>
          <w:rFonts w:hint="eastAsia"/>
          <w:color w:val="auto"/>
        </w:rPr>
        <w:t>数量指标：指标1：县十八届人代会第二次会议次数，指标值：</w:t>
      </w:r>
      <w:r>
        <w:rPr>
          <w:rFonts w:hint="eastAsia"/>
          <w:color w:val="auto"/>
          <w:lang w:val="en-US" w:eastAsia="zh-CN"/>
        </w:rPr>
        <w:t>1次</w:t>
      </w:r>
      <w:r>
        <w:rPr>
          <w:rFonts w:hint="eastAsia"/>
          <w:color w:val="auto"/>
        </w:rPr>
        <w:t>，实际完成值</w:t>
      </w:r>
      <w:r>
        <w:rPr>
          <w:rFonts w:hint="eastAsia"/>
          <w:color w:val="auto"/>
          <w:lang w:val="en-US" w:eastAsia="zh-CN"/>
        </w:rPr>
        <w:t>1次</w:t>
      </w:r>
      <w:r>
        <w:rPr>
          <w:rFonts w:hint="eastAsia"/>
          <w:color w:val="auto"/>
        </w:rPr>
        <w:t>，指标完成率</w:t>
      </w:r>
      <w:r>
        <w:rPr>
          <w:rFonts w:hint="eastAsia"/>
          <w:color w:val="auto"/>
          <w:lang w:val="en-US" w:eastAsia="zh-CN"/>
        </w:rPr>
        <w:t>100</w:t>
      </w:r>
      <w:r>
        <w:rPr>
          <w:rFonts w:hint="eastAsia"/>
          <w:color w:val="auto"/>
        </w:rPr>
        <w:t>%；指标2：县十八届人代会第二次会议参会人数，指标值&gt;=190人，实际完成值</w:t>
      </w:r>
      <w:r>
        <w:rPr>
          <w:rFonts w:hint="eastAsia"/>
          <w:color w:val="auto"/>
          <w:lang w:val="en-US" w:eastAsia="zh-CN"/>
        </w:rPr>
        <w:t>195人</w:t>
      </w:r>
      <w:r>
        <w:rPr>
          <w:rFonts w:hint="eastAsia"/>
          <w:color w:val="auto"/>
        </w:rPr>
        <w:t>，指标完成率</w:t>
      </w:r>
      <w:r>
        <w:rPr>
          <w:rFonts w:hint="eastAsia"/>
          <w:color w:val="auto"/>
          <w:lang w:val="en-US" w:eastAsia="zh-CN"/>
        </w:rPr>
        <w:t>102.63</w:t>
      </w:r>
      <w:r>
        <w:rPr>
          <w:rFonts w:hint="eastAsia"/>
          <w:color w:val="auto"/>
        </w:rPr>
        <w:t>%。指标</w:t>
      </w:r>
      <w:r>
        <w:rPr>
          <w:rFonts w:hint="eastAsia"/>
          <w:color w:val="auto"/>
          <w:lang w:val="en-US" w:eastAsia="zh-CN"/>
        </w:rPr>
        <w:t>3</w:t>
      </w:r>
      <w:r>
        <w:rPr>
          <w:rFonts w:hint="eastAsia"/>
          <w:color w:val="auto"/>
        </w:rPr>
        <w:t>：县十八届人代会第二次会议天数，指标值&gt;=</w:t>
      </w:r>
      <w:r>
        <w:rPr>
          <w:rFonts w:hint="eastAsia"/>
          <w:color w:val="auto"/>
          <w:lang w:val="en-US" w:eastAsia="zh-CN"/>
        </w:rPr>
        <w:t>3天</w:t>
      </w:r>
      <w:r>
        <w:rPr>
          <w:rFonts w:hint="eastAsia"/>
          <w:color w:val="auto"/>
        </w:rPr>
        <w:t>，实际完成值</w:t>
      </w:r>
      <w:r>
        <w:rPr>
          <w:rFonts w:hint="eastAsia"/>
          <w:color w:val="auto"/>
          <w:lang w:val="en-US" w:eastAsia="zh-CN"/>
        </w:rPr>
        <w:t>3人</w:t>
      </w:r>
      <w:r>
        <w:rPr>
          <w:rFonts w:hint="eastAsia"/>
          <w:color w:val="auto"/>
        </w:rPr>
        <w:t>，指标完成率</w:t>
      </w:r>
      <w:r>
        <w:rPr>
          <w:rFonts w:hint="eastAsia"/>
          <w:color w:val="auto"/>
          <w:lang w:val="en-US" w:eastAsia="zh-CN"/>
        </w:rPr>
        <w:t>100</w:t>
      </w:r>
      <w:r>
        <w:rPr>
          <w:rFonts w:hint="eastAsia"/>
          <w:color w:val="auto"/>
        </w:rPr>
        <w:t>%。指标</w:t>
      </w:r>
      <w:r>
        <w:rPr>
          <w:rFonts w:hint="eastAsia"/>
          <w:color w:val="auto"/>
          <w:lang w:val="en-US" w:eastAsia="zh-CN"/>
        </w:rPr>
        <w:t>4</w:t>
      </w:r>
      <w:r>
        <w:rPr>
          <w:rFonts w:hint="eastAsia"/>
          <w:color w:val="auto"/>
        </w:rPr>
        <w:t>：保障县级人大代表人数，指标值=205人，实际完成值</w:t>
      </w:r>
      <w:r>
        <w:rPr>
          <w:rFonts w:hint="eastAsia"/>
          <w:color w:val="auto"/>
          <w:lang w:val="en-US" w:eastAsia="zh-CN"/>
        </w:rPr>
        <w:t>205人</w:t>
      </w:r>
      <w:r>
        <w:rPr>
          <w:rFonts w:hint="eastAsia"/>
          <w:color w:val="auto"/>
        </w:rPr>
        <w:t>，指标完成率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color w:val="auto"/>
        </w:rPr>
        <w:t>2</w:t>
      </w:r>
      <w:r>
        <w:rPr>
          <w:rFonts w:hint="eastAsia"/>
          <w:color w:val="auto"/>
          <w:lang w:val="en-US" w:eastAsia="zh-CN"/>
        </w:rPr>
        <w:t>.</w:t>
      </w:r>
      <w:r>
        <w:rPr>
          <w:rFonts w:hint="eastAsia"/>
          <w:color w:val="auto"/>
        </w:rPr>
        <w:t>质量指标：指标1：会议出勤率，指标值&gt;=90%：，实际完成值，92%</w:t>
      </w:r>
      <w:r>
        <w:rPr>
          <w:rFonts w:hint="eastAsia"/>
          <w:color w:val="auto"/>
          <w:lang w:eastAsia="zh-CN"/>
        </w:rPr>
        <w:t>，</w:t>
      </w:r>
      <w:r>
        <w:rPr>
          <w:rFonts w:hint="eastAsia"/>
          <w:color w:val="auto"/>
        </w:rPr>
        <w:t>指标完成率</w:t>
      </w:r>
      <w:r>
        <w:rPr>
          <w:rFonts w:hint="eastAsia"/>
          <w:color w:val="auto"/>
          <w:lang w:val="en-US" w:eastAsia="zh-CN"/>
        </w:rPr>
        <w:t>102.22</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rPr>
        <w:t>3</w:t>
      </w:r>
      <w:r>
        <w:rPr>
          <w:rFonts w:hint="eastAsia"/>
          <w:color w:val="auto"/>
          <w:lang w:val="en-US" w:eastAsia="zh-CN"/>
        </w:rPr>
        <w:t>.</w:t>
      </w:r>
      <w:r>
        <w:rPr>
          <w:rFonts w:hint="eastAsia"/>
          <w:color w:val="auto"/>
        </w:rPr>
        <w:t>时效指标：指标1：会议按时完成率，指标值&gt;=</w:t>
      </w:r>
      <w:r>
        <w:rPr>
          <w:rFonts w:hint="eastAsia"/>
          <w:color w:val="auto"/>
          <w:lang w:val="en-US" w:eastAsia="zh-CN"/>
        </w:rPr>
        <w:t>10</w:t>
      </w:r>
      <w:r>
        <w:rPr>
          <w:rFonts w:hint="eastAsia"/>
          <w:color w:val="auto"/>
        </w:rPr>
        <w:t>0%</w:t>
      </w:r>
      <w:r>
        <w:rPr>
          <w:rFonts w:hint="eastAsia"/>
          <w:color w:val="auto"/>
          <w:lang w:eastAsia="zh-CN"/>
        </w:rPr>
        <w:t>，</w:t>
      </w:r>
      <w:r>
        <w:rPr>
          <w:rFonts w:hint="eastAsia"/>
          <w:color w:val="auto"/>
        </w:rPr>
        <w:t>实际完成值</w:t>
      </w:r>
      <w:r>
        <w:rPr>
          <w:rFonts w:hint="eastAsia"/>
          <w:color w:val="auto"/>
          <w:lang w:val="en-US" w:eastAsia="zh-CN"/>
        </w:rPr>
        <w:t>100</w:t>
      </w:r>
      <w:r>
        <w:rPr>
          <w:rFonts w:hint="eastAsia"/>
          <w:color w:val="auto"/>
        </w:rPr>
        <w:t>%；</w:t>
      </w:r>
      <w:r>
        <w:rPr>
          <w:rFonts w:hint="eastAsia"/>
          <w:color w:val="auto"/>
          <w:lang w:val="en-US" w:eastAsia="zh-CN"/>
        </w:rPr>
        <w:t>指标2：</w:t>
      </w:r>
      <w:r>
        <w:rPr>
          <w:rFonts w:hint="eastAsia"/>
          <w:color w:val="auto"/>
        </w:rPr>
        <w:t>保障县级人大代表工作经费支付及时率</w:t>
      </w:r>
      <w:r>
        <w:rPr>
          <w:rFonts w:hint="eastAsia"/>
          <w:color w:val="auto"/>
          <w:lang w:eastAsia="zh-CN"/>
        </w:rPr>
        <w:t>，</w:t>
      </w:r>
      <w:r>
        <w:rPr>
          <w:rFonts w:hint="eastAsia"/>
          <w:color w:val="auto"/>
        </w:rPr>
        <w:t>指标值&gt;=</w:t>
      </w:r>
      <w:r>
        <w:rPr>
          <w:rFonts w:hint="eastAsia"/>
          <w:color w:val="auto"/>
          <w:lang w:val="en-US" w:eastAsia="zh-CN"/>
        </w:rPr>
        <w:t>10</w:t>
      </w:r>
      <w:r>
        <w:rPr>
          <w:rFonts w:hint="eastAsia"/>
          <w:color w:val="auto"/>
        </w:rPr>
        <w:t>0%</w:t>
      </w:r>
      <w:r>
        <w:rPr>
          <w:rFonts w:hint="eastAsia"/>
          <w:color w:val="auto"/>
          <w:lang w:eastAsia="zh-CN"/>
        </w:rPr>
        <w:t>，</w:t>
      </w:r>
      <w:r>
        <w:rPr>
          <w:rFonts w:hint="eastAsia"/>
          <w:color w:val="auto"/>
        </w:rPr>
        <w:t>实际完成值</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eastAsia="zh-CN"/>
        </w:rPr>
      </w:pPr>
      <w:r>
        <w:rPr>
          <w:rFonts w:hint="eastAsia"/>
          <w:color w:val="auto"/>
        </w:rPr>
        <w:t>4</w:t>
      </w:r>
      <w:r>
        <w:rPr>
          <w:rFonts w:hint="eastAsia"/>
          <w:color w:val="auto"/>
          <w:lang w:val="en-US" w:eastAsia="zh-CN"/>
        </w:rPr>
        <w:t>.</w:t>
      </w:r>
      <w:r>
        <w:rPr>
          <w:rFonts w:hint="eastAsia"/>
          <w:color w:val="auto"/>
        </w:rPr>
        <w:t>成本指标</w:t>
      </w:r>
      <w:r>
        <w:rPr>
          <w:rFonts w:hint="eastAsia"/>
          <w:color w:val="auto"/>
          <w:lang w:eastAsia="zh-CN"/>
        </w:rPr>
        <w:t>：</w:t>
      </w:r>
      <w:r>
        <w:rPr>
          <w:rFonts w:hint="eastAsia"/>
          <w:color w:val="auto"/>
        </w:rPr>
        <w:t>指标1：会议人均支出标准，指标值&lt;=495元/人·天</w:t>
      </w:r>
      <w:r>
        <w:rPr>
          <w:rFonts w:hint="eastAsia"/>
          <w:color w:val="auto"/>
          <w:lang w:eastAsia="zh-CN"/>
        </w:rPr>
        <w:t>，</w:t>
      </w:r>
      <w:r>
        <w:rPr>
          <w:rFonts w:hint="eastAsia"/>
          <w:color w:val="auto"/>
        </w:rPr>
        <w:t>实际完成值</w:t>
      </w:r>
      <w:r>
        <w:rPr>
          <w:rFonts w:hint="eastAsia"/>
          <w:color w:val="auto"/>
          <w:lang w:val="en-US" w:eastAsia="zh-CN"/>
        </w:rPr>
        <w:t>495元/人·天，</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val="en-US" w:eastAsia="zh-CN"/>
        </w:rPr>
        <w:t>指标2：</w:t>
      </w:r>
      <w:r>
        <w:rPr>
          <w:rFonts w:hint="eastAsia"/>
          <w:color w:val="auto"/>
        </w:rPr>
        <w:t>人均运转经费数</w:t>
      </w:r>
      <w:r>
        <w:rPr>
          <w:rFonts w:hint="eastAsia"/>
          <w:color w:val="auto"/>
          <w:lang w:eastAsia="zh-CN"/>
        </w:rPr>
        <w:t>，</w:t>
      </w:r>
      <w:r>
        <w:rPr>
          <w:rFonts w:hint="eastAsia"/>
          <w:color w:val="auto"/>
        </w:rPr>
        <w:t>指标值&lt;=490元/人</w:t>
      </w:r>
      <w:r>
        <w:rPr>
          <w:rFonts w:hint="eastAsia"/>
          <w:color w:val="auto"/>
          <w:lang w:eastAsia="zh-CN"/>
        </w:rPr>
        <w:t>，</w:t>
      </w:r>
      <w:r>
        <w:rPr>
          <w:rFonts w:hint="eastAsia"/>
          <w:color w:val="auto"/>
        </w:rPr>
        <w:t>实际完成值490元/人</w:t>
      </w:r>
      <w:r>
        <w:rPr>
          <w:rFonts w:hint="eastAsia"/>
          <w:color w:val="auto"/>
          <w:lang w:eastAsia="zh-CN"/>
        </w:rPr>
        <w:t>，</w:t>
      </w:r>
      <w:r>
        <w:rPr>
          <w:rFonts w:hint="eastAsia"/>
          <w:color w:val="auto"/>
        </w:rPr>
        <w:t>指标完成率</w:t>
      </w:r>
      <w:r>
        <w:rPr>
          <w:rFonts w:hint="eastAsia"/>
          <w:color w:val="auto"/>
          <w:lang w:val="en-US" w:eastAsia="zh-CN"/>
        </w:rPr>
        <w:t>100</w:t>
      </w:r>
      <w:r>
        <w:rPr>
          <w:rFonts w:hint="eastAsia"/>
          <w:color w:val="auto"/>
        </w:rPr>
        <w:t>%；</w:t>
      </w:r>
    </w:p>
    <w:p>
      <w:pPr>
        <w:pStyle w:val="3"/>
        <w:pageBreakBefore w:val="0"/>
        <w:kinsoku/>
        <w:wordWrap/>
        <w:overflowPunct/>
        <w:topLinePunct w:val="0"/>
        <w:autoSpaceDE/>
        <w:autoSpaceDN/>
        <w:bidi w:val="0"/>
        <w:adjustRightInd/>
        <w:snapToGrid/>
        <w:spacing w:before="0" w:after="0" w:line="560" w:lineRule="exact"/>
        <w:textAlignment w:val="auto"/>
        <w:rPr>
          <w:rFonts w:hint="eastAsia" w:ascii="仿宋_GB2312" w:eastAsia="仿宋_GB2312"/>
          <w:b w:val="0"/>
          <w:bCs w:val="0"/>
        </w:rPr>
      </w:pPr>
      <w:bookmarkStart w:id="15" w:name="_Toc68703841"/>
      <w:r>
        <w:rPr>
          <w:rFonts w:hint="eastAsia" w:ascii="仿宋_GB2312" w:eastAsia="仿宋_GB2312"/>
          <w:b w:val="0"/>
          <w:bCs w:val="0"/>
        </w:rPr>
        <w:t>（四）项目效益情况。</w:t>
      </w:r>
      <w:bookmarkEnd w:id="15"/>
    </w:p>
    <w:p>
      <w:pPr>
        <w:pageBreakBefore w:val="0"/>
        <w:kinsoku/>
        <w:wordWrap/>
        <w:overflowPunct/>
        <w:topLinePunct w:val="0"/>
        <w:autoSpaceDE/>
        <w:autoSpaceDN/>
        <w:bidi w:val="0"/>
        <w:adjustRightInd/>
        <w:snapToGrid/>
        <w:spacing w:line="560" w:lineRule="exact"/>
        <w:ind w:firstLine="600" w:firstLineChars="200"/>
        <w:textAlignment w:val="auto"/>
        <w:rPr>
          <w:color w:val="auto"/>
        </w:rPr>
      </w:pPr>
      <w:r>
        <w:rPr>
          <w:rFonts w:hint="eastAsia"/>
          <w:color w:val="auto"/>
          <w:lang w:val="en-US" w:eastAsia="zh-CN"/>
        </w:rPr>
        <w:t>1.</w:t>
      </w:r>
      <w:r>
        <w:rPr>
          <w:rFonts w:hint="eastAsia"/>
          <w:color w:val="auto"/>
        </w:rPr>
        <w:t>社会效益指标：指标1：提高霍城县各基层人大代表履职能力</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rPr>
        <w:t>，指标值</w:t>
      </w:r>
      <w:r>
        <w:rPr>
          <w:rFonts w:hint="eastAsia"/>
          <w:color w:val="auto"/>
          <w:lang w:eastAsia="zh-CN"/>
        </w:rPr>
        <w:t>：</w:t>
      </w:r>
      <w:r>
        <w:rPr>
          <w:rFonts w:hint="eastAsia"/>
          <w:color w:val="auto"/>
        </w:rPr>
        <w:t>有所提升</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lang w:val="en-US" w:eastAsia="zh-CN"/>
        </w:rPr>
        <w:t>有所提升，</w:t>
      </w:r>
      <w:r>
        <w:rPr>
          <w:rFonts w:hint="eastAsia"/>
          <w:color w:val="auto"/>
        </w:rPr>
        <w:t>指标完成率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color w:val="auto"/>
        </w:rPr>
      </w:pPr>
      <w:r>
        <w:rPr>
          <w:rFonts w:hint="eastAsia"/>
          <w:color w:val="auto"/>
          <w:lang w:val="en-US" w:eastAsia="zh-CN"/>
        </w:rPr>
        <w:t>2.</w:t>
      </w:r>
      <w:r>
        <w:rPr>
          <w:rFonts w:hint="eastAsia"/>
          <w:color w:val="auto"/>
        </w:rPr>
        <w:t>可持续影响指标</w:t>
      </w:r>
      <w:r>
        <w:rPr>
          <w:rFonts w:hint="eastAsia"/>
          <w:color w:val="auto"/>
          <w:lang w:eastAsia="zh-CN"/>
        </w:rPr>
        <w:t>：</w:t>
      </w:r>
      <w:r>
        <w:rPr>
          <w:rFonts w:hint="eastAsia"/>
          <w:color w:val="auto"/>
        </w:rPr>
        <w:t>指标1：群众关注热点问题，指标值</w:t>
      </w:r>
      <w:r>
        <w:rPr>
          <w:rFonts w:hint="eastAsia"/>
          <w:color w:val="auto"/>
          <w:lang w:eastAsia="zh-CN"/>
        </w:rPr>
        <w:t>：</w:t>
      </w:r>
      <w:r>
        <w:rPr>
          <w:rFonts w:hint="eastAsia"/>
          <w:color w:val="auto"/>
        </w:rPr>
        <w:t>持续关注</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lang w:val="en-US" w:eastAsia="zh-CN"/>
        </w:rPr>
        <w:t>持续关注，</w:t>
      </w:r>
      <w:r>
        <w:rPr>
          <w:rFonts w:hint="eastAsia"/>
          <w:color w:val="auto"/>
        </w:rPr>
        <w:t>指标完成率</w:t>
      </w:r>
      <w:r>
        <w:rPr>
          <w:rFonts w:hint="eastAsia"/>
          <w:color w:val="auto"/>
          <w:lang w:val="en-US" w:eastAsia="zh-CN"/>
        </w:rPr>
        <w:t>100</w:t>
      </w:r>
      <w:r>
        <w:rPr>
          <w:rFonts w:hint="eastAsia"/>
          <w:color w:val="auto"/>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eastAsia="仿宋_GB2312"/>
          <w:color w:val="auto"/>
          <w:lang w:val="en-US" w:eastAsia="zh-CN"/>
        </w:rPr>
      </w:pPr>
      <w:r>
        <w:rPr>
          <w:rFonts w:hint="eastAsia"/>
          <w:color w:val="auto"/>
        </w:rPr>
        <w:t>5</w:t>
      </w:r>
      <w:r>
        <w:rPr>
          <w:rFonts w:hint="eastAsia"/>
          <w:color w:val="auto"/>
          <w:lang w:val="en-US" w:eastAsia="zh-CN"/>
        </w:rPr>
        <w:t>.</w:t>
      </w:r>
      <w:r>
        <w:rPr>
          <w:rFonts w:hint="eastAsia"/>
          <w:color w:val="auto"/>
        </w:rPr>
        <w:t>满意度指标：指标1：参会人员满意度，指标值</w:t>
      </w:r>
      <w:r>
        <w:rPr>
          <w:rFonts w:hint="eastAsia"/>
          <w:color w:val="auto"/>
          <w:lang w:eastAsia="zh-CN"/>
        </w:rPr>
        <w:t>：</w:t>
      </w:r>
      <w:r>
        <w:rPr>
          <w:rFonts w:hint="eastAsia"/>
          <w:color w:val="auto"/>
        </w:rPr>
        <w:t>&gt;=90%</w:t>
      </w:r>
      <w:r>
        <w:rPr>
          <w:rFonts w:hint="eastAsia"/>
          <w:color w:val="auto"/>
          <w:lang w:eastAsia="zh-CN"/>
        </w:rPr>
        <w:t>，</w:t>
      </w:r>
      <w:r>
        <w:rPr>
          <w:rFonts w:hint="eastAsia"/>
          <w:color w:val="auto"/>
        </w:rPr>
        <w:t>实际完成值</w:t>
      </w:r>
      <w:r>
        <w:rPr>
          <w:rFonts w:hint="eastAsia"/>
          <w:color w:val="auto"/>
          <w:lang w:eastAsia="zh-CN"/>
        </w:rPr>
        <w:t>：</w:t>
      </w:r>
      <w:r>
        <w:rPr>
          <w:rFonts w:hint="eastAsia"/>
          <w:color w:val="auto"/>
          <w:lang w:val="en-US" w:eastAsia="zh-CN"/>
        </w:rPr>
        <w:t>100%</w:t>
      </w:r>
      <w:bookmarkStart w:id="16" w:name="_Toc68703842"/>
      <w:r>
        <w:rPr>
          <w:rFonts w:hint="eastAsia"/>
          <w:color w:val="auto"/>
          <w:lang w:val="en-US" w:eastAsia="zh-CN"/>
        </w:rPr>
        <w:t>，</w:t>
      </w:r>
      <w:r>
        <w:rPr>
          <w:rFonts w:hint="eastAsia"/>
          <w:color w:val="auto"/>
        </w:rPr>
        <w:t>指标完成率</w:t>
      </w:r>
      <w:r>
        <w:rPr>
          <w:rFonts w:hint="eastAsia"/>
          <w:color w:val="auto"/>
          <w:lang w:val="en-US" w:eastAsia="zh-CN"/>
        </w:rPr>
        <w:t>111.11</w:t>
      </w:r>
      <w:r>
        <w:rPr>
          <w:rFonts w:hint="eastAsia"/>
          <w:color w:val="auto"/>
        </w:rPr>
        <w:t>%</w:t>
      </w:r>
      <w:r>
        <w:rPr>
          <w:rFonts w:hint="eastAsia"/>
          <w:color w:val="auto"/>
          <w:lang w:eastAsia="zh-CN"/>
        </w:rPr>
        <w:t>。</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五、主要经验及做法、存在的问题及原因分析</w:t>
      </w:r>
      <w:bookmarkEnd w:id="16"/>
      <w:bookmarkStart w:id="17" w:name="_Toc68703843"/>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eastAsia="仿宋_GB2312"/>
          <w:b w:val="0"/>
          <w:bCs w:val="0"/>
        </w:rPr>
      </w:pPr>
      <w:r>
        <w:rPr>
          <w:rFonts w:hint="eastAsia" w:ascii="仿宋_GB2312" w:eastAsia="仿宋_GB2312"/>
          <w:b w:val="0"/>
          <w:bCs w:val="0"/>
        </w:rPr>
        <w:t>（一）主要经验及做法</w:t>
      </w:r>
      <w:bookmarkEnd w:id="17"/>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领导重视，强化管理：县人大高度重视项目绩效评价工作，成立由人大常委会副主任任组长的领导小组，办公室，财务室各司其职，任务细化到人，确保该工作的顺利进行。</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专家评审：为保证绩效评价结果客观性、公正性，委托专家组对评价报告从专业角度进行了现审，经过初评、复核及终核环节，进行考核评分并形成综合评分结果。</w:t>
      </w:r>
    </w:p>
    <w:p>
      <w:pPr>
        <w:pageBreakBefore w:val="0"/>
        <w:numPr>
          <w:ilvl w:val="0"/>
          <w:numId w:val="1"/>
        </w:numPr>
        <w:kinsoku/>
        <w:wordWrap/>
        <w:overflowPunct/>
        <w:topLinePunct w:val="0"/>
        <w:autoSpaceDE/>
        <w:autoSpaceDN/>
        <w:bidi w:val="0"/>
        <w:adjustRightInd/>
        <w:snapToGrid/>
        <w:spacing w:line="560" w:lineRule="exact"/>
        <w:ind w:firstLine="600" w:firstLineChars="200"/>
        <w:textAlignment w:val="auto"/>
        <w:rPr>
          <w:rFonts w:hint="default" w:ascii="仿宋_GB2312" w:hAnsi="Times New Roman" w:eastAsia="仿宋_GB2312" w:cs="Times New Roman"/>
          <w:b w:val="0"/>
          <w:bCs w:val="0"/>
          <w:kern w:val="2"/>
          <w:sz w:val="30"/>
          <w:szCs w:val="24"/>
          <w:lang w:val="en-US" w:eastAsia="zh-CN" w:bidi="ar-SA"/>
        </w:rPr>
      </w:pPr>
      <w:r>
        <w:rPr>
          <w:rFonts w:hint="eastAsia" w:ascii="仿宋_GB2312" w:eastAsia="仿宋_GB2312"/>
          <w:b w:val="0"/>
          <w:bCs w:val="0"/>
        </w:rPr>
        <w:t>存在的问题及原因分析</w:t>
      </w:r>
      <w:r>
        <w:rPr>
          <w:rFonts w:hint="eastAsia" w:ascii="仿宋_GB2312"/>
          <w:b w:val="0"/>
          <w:bCs w:val="0"/>
          <w:lang w:eastAsia="zh-CN"/>
        </w:rPr>
        <w:t>：</w:t>
      </w:r>
    </w:p>
    <w:p>
      <w:pPr>
        <w:pageBreakBefore w:val="0"/>
        <w:numPr>
          <w:ilvl w:val="0"/>
          <w:numId w:val="0"/>
        </w:numPr>
        <w:kinsoku/>
        <w:wordWrap/>
        <w:overflowPunct/>
        <w:topLinePunct w:val="0"/>
        <w:autoSpaceDE/>
        <w:autoSpaceDN/>
        <w:bidi w:val="0"/>
        <w:adjustRightInd/>
        <w:snapToGrid/>
        <w:spacing w:line="560" w:lineRule="exact"/>
        <w:ind w:firstLine="900" w:firstLineChars="3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一是对绩效目标申报不够重视，绩效目标设置量化程度进一步提高。</w:t>
      </w:r>
    </w:p>
    <w:p>
      <w:pPr>
        <w:pageBreakBefore w:val="0"/>
        <w:numPr>
          <w:ilvl w:val="0"/>
          <w:numId w:val="0"/>
        </w:numPr>
        <w:kinsoku/>
        <w:wordWrap/>
        <w:overflowPunct/>
        <w:topLinePunct w:val="0"/>
        <w:autoSpaceDE/>
        <w:autoSpaceDN/>
        <w:bidi w:val="0"/>
        <w:adjustRightInd/>
        <w:snapToGrid/>
        <w:spacing w:line="560" w:lineRule="exact"/>
        <w:ind w:firstLine="900" w:firstLineChars="3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二是工作人员绩效观念模糊，绩效管理水平有待于提高。</w:t>
      </w:r>
    </w:p>
    <w:p>
      <w:pPr>
        <w:pageBreakBefore w:val="0"/>
        <w:numPr>
          <w:ilvl w:val="0"/>
          <w:numId w:val="0"/>
        </w:numPr>
        <w:kinsoku/>
        <w:wordWrap/>
        <w:overflowPunct/>
        <w:topLinePunct w:val="0"/>
        <w:autoSpaceDE/>
        <w:autoSpaceDN/>
        <w:bidi w:val="0"/>
        <w:adjustRightInd/>
        <w:snapToGrid/>
        <w:spacing w:line="560" w:lineRule="exact"/>
        <w:ind w:left="600" w:leftChars="200" w:firstLine="300" w:firstLineChars="100"/>
        <w:textAlignment w:val="auto"/>
        <w:rPr>
          <w:rFonts w:hint="eastAsia" w:ascii="宋体" w:hAnsi="宋体" w:eastAsia="宋体"/>
          <w:sz w:val="32"/>
          <w:szCs w:val="32"/>
        </w:rPr>
      </w:pPr>
      <w:r>
        <w:rPr>
          <w:rFonts w:hint="eastAsia" w:ascii="仿宋_GB2312" w:hAnsi="Times New Roman" w:eastAsia="仿宋_GB2312" w:cs="Times New Roman"/>
          <w:b w:val="0"/>
          <w:bCs w:val="0"/>
          <w:kern w:val="2"/>
          <w:sz w:val="30"/>
          <w:szCs w:val="24"/>
          <w:lang w:val="en-US" w:eastAsia="zh-CN" w:bidi="ar-SA"/>
        </w:rPr>
        <w:t>三是财政支出绩效管理工作还有待进一步提高。</w:t>
      </w:r>
      <w:r>
        <w:rPr>
          <w:rFonts w:hint="eastAsia" w:eastAsia="仿宋_GB2312" w:asciiTheme="majorHAnsi" w:hAnsiTheme="majorHAnsi" w:cstheme="majorBidi"/>
          <w:b w:val="0"/>
          <w:bCs w:val="0"/>
          <w:color w:val="auto"/>
          <w:kern w:val="2"/>
          <w:sz w:val="32"/>
          <w:szCs w:val="32"/>
          <w:lang w:val="en-US" w:eastAsia="zh-CN" w:bidi="ar-SA"/>
        </w:rPr>
        <w:br w:type="textWrapping"/>
      </w:r>
      <w:r>
        <w:rPr>
          <w:rFonts w:hint="eastAsia" w:ascii="宋体" w:hAnsi="宋体" w:eastAsia="宋体" w:cs="Times New Roman"/>
          <w:b/>
          <w:bCs/>
          <w:kern w:val="44"/>
          <w:sz w:val="32"/>
          <w:szCs w:val="32"/>
          <w:lang w:val="en-US" w:eastAsia="zh-CN" w:bidi="ar-SA"/>
        </w:rPr>
        <w:t>六、有关建议</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政策制度方面，部门和单位主要负责同志对本部门本单位预算绩效负责，切实履行内部控制建设的主体责任，结合自身工作实际，加快建议健全科学高效的绩效管理内部管理制度建设，强化对预算执行层面和业务开展的内部流程控制，促进人大工作治理水平不断提高。</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项目管理方面，严格按照实施计划开展相关工作，确保本项目能够严格按照实施计划高质量完成相关工作。</w:t>
      </w:r>
    </w:p>
    <w:p>
      <w:pPr>
        <w:pageBreakBefore w:val="0"/>
        <w:kinsoku/>
        <w:wordWrap/>
        <w:overflowPunct/>
        <w:topLinePunct w:val="0"/>
        <w:autoSpaceDE/>
        <w:autoSpaceDN/>
        <w:bidi w:val="0"/>
        <w:adjustRightInd/>
        <w:snapToGrid/>
        <w:spacing w:line="560" w:lineRule="exact"/>
        <w:ind w:firstLine="600" w:firstLineChars="200"/>
        <w:textAlignment w:val="auto"/>
        <w:rPr>
          <w:rFonts w:hint="eastAsia" w:ascii="仿宋_GB2312" w:hAnsi="Times New Roman" w:eastAsia="仿宋_GB2312" w:cs="Times New Roman"/>
          <w:b w:val="0"/>
          <w:bCs w:val="0"/>
          <w:kern w:val="2"/>
          <w:sz w:val="30"/>
          <w:szCs w:val="24"/>
          <w:lang w:val="en-US" w:eastAsia="zh-CN" w:bidi="ar-SA"/>
        </w:rPr>
      </w:pPr>
      <w:r>
        <w:rPr>
          <w:rFonts w:hint="eastAsia" w:ascii="仿宋_GB2312" w:hAnsi="Times New Roman" w:eastAsia="仿宋_GB2312" w:cs="Times New Roman"/>
          <w:b w:val="0"/>
          <w:bCs w:val="0"/>
          <w:kern w:val="2"/>
          <w:sz w:val="30"/>
          <w:szCs w:val="24"/>
          <w:lang w:val="en-US" w:eastAsia="zh-CN" w:bidi="ar-SA"/>
        </w:rPr>
        <w:t>资金方面：鉴于当前社会形势下人大工作的重要性，建议继续确保财政项目资金的预算安排，我办将在县财政局审核后将项目绩效评价结果向社会公开，接受社会各界的监督。</w:t>
      </w:r>
    </w:p>
    <w:p>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sz w:val="32"/>
          <w:szCs w:val="32"/>
        </w:rPr>
      </w:pPr>
    </w:p>
    <w:p>
      <w:pPr>
        <w:pageBreakBefore w:val="0"/>
        <w:numPr>
          <w:ilvl w:val="0"/>
          <w:numId w:val="0"/>
        </w:numPr>
        <w:kinsoku/>
        <w:wordWrap/>
        <w:overflowPunct/>
        <w:topLinePunct w:val="0"/>
        <w:autoSpaceDE/>
        <w:autoSpaceDN/>
        <w:bidi w:val="0"/>
        <w:adjustRightInd/>
        <w:snapToGrid/>
        <w:spacing w:line="560" w:lineRule="exact"/>
        <w:ind w:left="600" w:leftChars="200" w:firstLine="321" w:firstLineChars="100"/>
        <w:textAlignment w:val="auto"/>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七、其他需要说明的问题</w:t>
      </w:r>
    </w:p>
    <w:p>
      <w:pPr>
        <w:pageBreakBefore w:val="0"/>
        <w:widowControl w:val="0"/>
        <w:kinsoku/>
        <w:wordWrap/>
        <w:overflowPunct/>
        <w:topLinePunct w:val="0"/>
        <w:autoSpaceDE/>
        <w:autoSpaceDN/>
        <w:bidi w:val="0"/>
        <w:adjustRightInd/>
        <w:snapToGrid/>
        <w:spacing w:line="560" w:lineRule="exact"/>
        <w:ind w:firstLine="900" w:firstLineChars="300"/>
        <w:textAlignment w:val="auto"/>
        <w:rPr>
          <w:rFonts w:hint="default" w:eastAsia="仿宋_GB2312"/>
          <w:lang w:val="en-US" w:eastAsia="zh-CN"/>
        </w:rPr>
      </w:pPr>
      <w:r>
        <w:rPr>
          <w:rFonts w:hint="eastAsia"/>
          <w:lang w:val="en-US" w:eastAsia="zh-CN"/>
        </w:rPr>
        <w:t>无</w:t>
      </w:r>
    </w:p>
    <w:p>
      <w:pPr>
        <w:pageBreakBefore w:val="0"/>
        <w:widowControl w:val="0"/>
        <w:kinsoku/>
        <w:wordWrap/>
        <w:overflowPunct/>
        <w:topLinePunct w:val="0"/>
        <w:autoSpaceDE/>
        <w:autoSpaceDN/>
        <w:bidi w:val="0"/>
        <w:adjustRightInd/>
        <w:snapToGrid/>
        <w:spacing w:line="560" w:lineRule="exact"/>
        <w:textAlignment w:val="auto"/>
      </w:pPr>
    </w:p>
    <w:p>
      <w:pPr>
        <w:pageBreakBefore w:val="0"/>
        <w:widowControl w:val="0"/>
        <w:kinsoku/>
        <w:wordWrap/>
        <w:overflowPunct/>
        <w:topLinePunct w:val="0"/>
        <w:autoSpaceDE/>
        <w:autoSpaceDN/>
        <w:bidi w:val="0"/>
        <w:adjustRightInd/>
        <w:snapToGrid/>
        <w:spacing w:line="560" w:lineRule="exact"/>
        <w:textAlignment w:val="auto"/>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D30827"/>
    <w:multiLevelType w:val="singleLevel"/>
    <w:tmpl w:val="69D3082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MGQ0ZTNiODcyMDEyOGM4ZDJlN2U3YWViNmQzNzUifQ=="/>
  </w:docVars>
  <w:rsids>
    <w:rsidRoot w:val="007D49C5"/>
    <w:rsid w:val="000D63FA"/>
    <w:rsid w:val="005B64E8"/>
    <w:rsid w:val="00614288"/>
    <w:rsid w:val="00792CFE"/>
    <w:rsid w:val="007D49C5"/>
    <w:rsid w:val="008175E0"/>
    <w:rsid w:val="008C631D"/>
    <w:rsid w:val="00A114ED"/>
    <w:rsid w:val="00B24331"/>
    <w:rsid w:val="02A607A6"/>
    <w:rsid w:val="05393F2A"/>
    <w:rsid w:val="05F13E27"/>
    <w:rsid w:val="0E6B0911"/>
    <w:rsid w:val="0F2A6BF7"/>
    <w:rsid w:val="1B632419"/>
    <w:rsid w:val="20060AC1"/>
    <w:rsid w:val="22BB7DD3"/>
    <w:rsid w:val="26F44D08"/>
    <w:rsid w:val="31FF2D93"/>
    <w:rsid w:val="36B72533"/>
    <w:rsid w:val="37470647"/>
    <w:rsid w:val="3A20395F"/>
    <w:rsid w:val="4057649F"/>
    <w:rsid w:val="405F2B68"/>
    <w:rsid w:val="452665F1"/>
    <w:rsid w:val="466E1B26"/>
    <w:rsid w:val="47425CBF"/>
    <w:rsid w:val="481A7CD3"/>
    <w:rsid w:val="4AE05F13"/>
    <w:rsid w:val="4E097BB4"/>
    <w:rsid w:val="5655471B"/>
    <w:rsid w:val="56796849"/>
    <w:rsid w:val="5DA95371"/>
    <w:rsid w:val="5F2853AF"/>
    <w:rsid w:val="68F10E5D"/>
    <w:rsid w:val="723503BC"/>
    <w:rsid w:val="783B612B"/>
    <w:rsid w:val="7B3C66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7">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customStyle="1" w:styleId="11">
    <w:name w:val="标题 1 Char"/>
    <w:basedOn w:val="9"/>
    <w:link w:val="2"/>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paragraph" w:customStyle="1" w:styleId="1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4">
    <w:name w:val="页眉 Char"/>
    <w:basedOn w:val="9"/>
    <w:link w:val="5"/>
    <w:semiHidden/>
    <w:qFormat/>
    <w:uiPriority w:val="99"/>
    <w:rPr>
      <w:rFonts w:ascii="Times New Roman" w:hAnsi="Times New Roman" w:eastAsia="仿宋_GB2312" w:cs="Times New Roman"/>
      <w:sz w:val="18"/>
      <w:szCs w:val="18"/>
    </w:rPr>
  </w:style>
  <w:style w:type="character" w:customStyle="1" w:styleId="15">
    <w:name w:val="页脚 Char"/>
    <w:basedOn w:val="9"/>
    <w:link w:val="4"/>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5043</Words>
  <Characters>5242</Characters>
  <Lines>37</Lines>
  <Paragraphs>10</Paragraphs>
  <TotalTime>3</TotalTime>
  <ScaleCrop>false</ScaleCrop>
  <LinksUpToDate>false</LinksUpToDate>
  <CharactersWithSpaces>5253</CharactersWithSpaces>
  <Application>WPS Office_11.8.2.12080_F1E327BC-269C-435d-A152-05C5408002CA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2024-06-13T03:05:05Z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2052-11.8.2.12080</vt:lpwstr>
  </property>
  <property fmtid="{D5CDD505-2E9C-101B-9397-08002B2CF9AE}" pid="3" name="ICV">
    <vt:lpwstr>E29895D728684EE2A3A9A95E5F77DBC9</vt:lpwstr>
  </property>
</Properties>
</file>