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52"/>
          <w:szCs w:val="52"/>
        </w:rPr>
      </w:pPr>
      <w:r>
        <w:rPr>
          <w:rFonts w:hint="eastAsia" w:ascii="宋体" w:hAnsi="宋体" w:eastAsia="宋体" w:cs="Arial"/>
          <w:b/>
          <w:bCs/>
          <w:color w:val="auto"/>
          <w:sz w:val="52"/>
          <w:szCs w:val="52"/>
        </w:rPr>
        <w:t>项目支出绩效评价报告</w:t>
      </w:r>
    </w:p>
    <w:p>
      <w:pPr>
        <w:jc w:val="center"/>
        <w:rPr>
          <w:rFonts w:ascii="宋体" w:hAnsi="宋体" w:eastAsia="宋体" w:cs="Arial"/>
          <w:b/>
          <w:bCs/>
          <w:color w:val="auto"/>
          <w:sz w:val="48"/>
          <w:szCs w:val="48"/>
        </w:rPr>
      </w:pPr>
    </w:p>
    <w:p>
      <w:pPr>
        <w:widowControl/>
        <w:spacing w:line="560" w:lineRule="exact"/>
        <w:jc w:val="center"/>
        <w:rPr>
          <w:rFonts w:ascii="仿宋_GB2312" w:hAnsi="仿宋_GB2312" w:cs="仿宋_GB2312"/>
          <w:b/>
          <w:color w:val="auto"/>
          <w:kern w:val="0"/>
          <w:sz w:val="50"/>
          <w:szCs w:val="50"/>
          <w:lang w:bidi="en-US"/>
        </w:rPr>
      </w:pPr>
      <w:r>
        <w:rPr>
          <w:rFonts w:hint="eastAsia" w:ascii="红豆小标宋简体" w:hAnsi="红豆小标宋简体" w:eastAsia="红豆小标宋简体" w:cs="红豆小标宋简体"/>
          <w:color w:val="auto"/>
          <w:kern w:val="0"/>
          <w:sz w:val="36"/>
          <w:szCs w:val="36"/>
        </w:rPr>
        <w:t>（2</w:t>
      </w:r>
      <w:r>
        <w:rPr>
          <w:rFonts w:ascii="红豆小标宋简体" w:hAnsi="红豆小标宋简体" w:eastAsia="红豆小标宋简体" w:cs="红豆小标宋简体"/>
          <w:color w:val="auto"/>
          <w:kern w:val="0"/>
          <w:sz w:val="36"/>
          <w:szCs w:val="36"/>
        </w:rPr>
        <w:t>02</w:t>
      </w:r>
      <w:r>
        <w:rPr>
          <w:rFonts w:hint="eastAsia" w:ascii="红豆小标宋简体" w:hAnsi="红豆小标宋简体" w:eastAsia="红豆小标宋简体" w:cs="红豆小标宋简体"/>
          <w:color w:val="auto"/>
          <w:kern w:val="0"/>
          <w:sz w:val="36"/>
          <w:szCs w:val="36"/>
          <w:lang w:val="en-US" w:eastAsia="zh-CN"/>
        </w:rPr>
        <w:t>2</w:t>
      </w:r>
      <w:r>
        <w:rPr>
          <w:rFonts w:hint="eastAsia" w:ascii="红豆小标宋简体" w:hAnsi="红豆小标宋简体" w:eastAsia="红豆小标宋简体" w:cs="红豆小标宋简体"/>
          <w:color w:val="auto"/>
          <w:kern w:val="0"/>
          <w:sz w:val="36"/>
          <w:szCs w:val="36"/>
        </w:rPr>
        <w:t>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560" w:lineRule="exact"/>
        <w:ind w:left="1924" w:leftChars="106" w:hanging="1606" w:hangingChars="500"/>
        <w:rPr>
          <w:rFonts w:hint="eastAsia" w:ascii="宋体" w:hAnsi="宋体" w:eastAsia="宋体" w:cs="仿宋_GB2312"/>
          <w:color w:val="auto"/>
          <w:kern w:val="0"/>
          <w:sz w:val="32"/>
          <w:szCs w:val="32"/>
          <w:lang w:val="en-US" w:eastAsia="zh-CN"/>
        </w:rPr>
      </w:pPr>
      <w:r>
        <w:rPr>
          <w:rFonts w:hint="eastAsia" w:ascii="宋体" w:hAnsi="宋体" w:eastAsia="宋体" w:cs="仿宋_GB2312"/>
          <w:b/>
          <w:bCs/>
          <w:color w:val="auto"/>
          <w:kern w:val="0"/>
          <w:sz w:val="32"/>
          <w:szCs w:val="32"/>
        </w:rPr>
        <w:t>项目名称：</w:t>
      </w:r>
      <w:r>
        <w:rPr>
          <w:rFonts w:hint="eastAsia" w:ascii="宋体" w:hAnsi="宋体" w:eastAsia="宋体" w:cs="仿宋_GB2312"/>
          <w:color w:val="auto"/>
          <w:kern w:val="0"/>
          <w:sz w:val="32"/>
          <w:szCs w:val="32"/>
          <w:lang w:val="en-US" w:eastAsia="zh-CN"/>
        </w:rPr>
        <w:t>关于预拨2022年农村客运补贴资金及城市交通发展奖励资金的通知专项经费</w:t>
      </w: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实施单位（公章）：</w:t>
      </w:r>
      <w:r>
        <w:rPr>
          <w:rFonts w:hint="eastAsia" w:ascii="宋体" w:hAnsi="宋体" w:eastAsia="宋体" w:cs="仿宋_GB2312"/>
          <w:color w:val="auto"/>
          <w:kern w:val="0"/>
          <w:sz w:val="32"/>
          <w:szCs w:val="32"/>
          <w:lang w:val="en-US" w:eastAsia="zh-CN"/>
        </w:rPr>
        <w:t>霍城县交通运输局</w:t>
      </w:r>
    </w:p>
    <w:p>
      <w:pPr>
        <w:spacing w:line="560" w:lineRule="exact"/>
        <w:ind w:firstLine="321" w:firstLineChars="100"/>
        <w:rPr>
          <w:rFonts w:hint="eastAsia" w:ascii="宋体" w:hAnsi="宋体" w:eastAsia="宋体" w:cs="仿宋_GB2312"/>
          <w:color w:val="auto"/>
          <w:kern w:val="0"/>
          <w:sz w:val="32"/>
          <w:szCs w:val="32"/>
          <w:lang w:val="en-US" w:eastAsia="zh-CN"/>
        </w:rPr>
      </w:pPr>
      <w:r>
        <w:rPr>
          <w:rFonts w:hint="eastAsia" w:ascii="宋体" w:hAnsi="宋体" w:eastAsia="宋体" w:cs="仿宋_GB2312"/>
          <w:b/>
          <w:bCs/>
          <w:color w:val="auto"/>
          <w:kern w:val="0"/>
          <w:sz w:val="32"/>
          <w:szCs w:val="32"/>
        </w:rPr>
        <w:t>主管部门（公章）：</w:t>
      </w:r>
      <w:r>
        <w:rPr>
          <w:rFonts w:hint="eastAsia" w:ascii="宋体" w:hAnsi="宋体" w:eastAsia="宋体" w:cs="仿宋_GB2312"/>
          <w:color w:val="auto"/>
          <w:kern w:val="0"/>
          <w:sz w:val="32"/>
          <w:szCs w:val="32"/>
          <w:lang w:val="en-US" w:eastAsia="zh-CN"/>
        </w:rPr>
        <w:t>霍城县交通运输局</w:t>
      </w: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项目负责人（签章）：</w:t>
      </w:r>
      <w:r>
        <w:rPr>
          <w:rFonts w:hint="eastAsia" w:ascii="宋体" w:hAnsi="宋体" w:eastAsia="宋体" w:cs="仿宋_GB2312"/>
          <w:color w:val="auto"/>
          <w:kern w:val="0"/>
          <w:sz w:val="32"/>
          <w:szCs w:val="32"/>
          <w:lang w:val="en-US" w:eastAsia="zh-CN"/>
        </w:rPr>
        <w:t>金福贵</w:t>
      </w:r>
    </w:p>
    <w:p>
      <w:pPr>
        <w:spacing w:line="560" w:lineRule="exact"/>
        <w:ind w:firstLine="321" w:firstLineChars="100"/>
        <w:rPr>
          <w:rFonts w:ascii="宋体" w:hAnsi="宋体" w:eastAsia="宋体" w:cs="仿宋_GB2312"/>
          <w:color w:val="auto"/>
          <w:kern w:val="0"/>
          <w:sz w:val="32"/>
          <w:szCs w:val="32"/>
        </w:rPr>
      </w:pP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hint="eastAsia" w:ascii="宋体" w:hAnsi="宋体" w:eastAsia="宋体" w:cs="仿宋_GB2312"/>
          <w:color w:val="auto"/>
          <w:kern w:val="0"/>
          <w:sz w:val="32"/>
          <w:szCs w:val="32"/>
          <w:lang w:val="en-US" w:eastAsia="zh-CN"/>
        </w:rPr>
        <w:t>3</w:t>
      </w:r>
      <w:r>
        <w:rPr>
          <w:rFonts w:hint="eastAsia" w:ascii="宋体" w:hAnsi="宋体" w:eastAsia="宋体" w:cs="仿宋_GB2312"/>
          <w:color w:val="auto"/>
          <w:kern w:val="0"/>
          <w:sz w:val="32"/>
          <w:szCs w:val="32"/>
        </w:rPr>
        <w:t>年</w:t>
      </w:r>
      <w:r>
        <w:rPr>
          <w:rFonts w:hint="eastAsia" w:ascii="宋体" w:hAnsi="宋体" w:eastAsia="宋体" w:cs="仿宋_GB2312"/>
          <w:color w:val="auto"/>
          <w:kern w:val="0"/>
          <w:sz w:val="32"/>
          <w:szCs w:val="32"/>
          <w:lang w:val="en-US" w:eastAsia="zh-CN"/>
        </w:rPr>
        <w:t>4</w:t>
      </w:r>
      <w:r>
        <w:rPr>
          <w:rFonts w:hint="eastAsia" w:ascii="宋体" w:hAnsi="宋体" w:eastAsia="宋体" w:cs="仿宋_GB2312"/>
          <w:color w:val="auto"/>
          <w:kern w:val="0"/>
          <w:sz w:val="32"/>
          <w:szCs w:val="32"/>
        </w:rPr>
        <w:t xml:space="preserve"> 月</w:t>
      </w:r>
      <w:r>
        <w:rPr>
          <w:rFonts w:hint="eastAsia" w:ascii="宋体" w:hAnsi="宋体" w:eastAsia="宋体" w:cs="仿宋_GB2312"/>
          <w:color w:val="auto"/>
          <w:kern w:val="0"/>
          <w:sz w:val="32"/>
          <w:szCs w:val="32"/>
          <w:lang w:val="en-US" w:eastAsia="zh-CN"/>
        </w:rPr>
        <w:t>3</w:t>
      </w:r>
      <w:r>
        <w:rPr>
          <w:rFonts w:hint="eastAsia" w:ascii="宋体" w:hAnsi="宋体" w:eastAsia="宋体" w:cs="仿宋_GB2312"/>
          <w:color w:val="auto"/>
          <w:kern w:val="0"/>
          <w:sz w:val="32"/>
          <w:szCs w:val="32"/>
        </w:rPr>
        <w:t>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jc w:val="center"/>
        <w:rPr>
          <w:rFonts w:ascii="Arial" w:hAnsi="Arial" w:eastAsia="宋体" w:cs="Arial"/>
          <w:b/>
          <w:bCs/>
          <w:color w:val="auto"/>
          <w:sz w:val="36"/>
          <w:szCs w:val="36"/>
        </w:rPr>
      </w:pPr>
      <w:r>
        <w:rPr>
          <w:rFonts w:hint="eastAsia" w:ascii="宋体" w:hAnsi="宋体" w:eastAsia="宋体" w:cs="Arial"/>
          <w:b/>
          <w:bCs/>
          <w:color w:val="auto"/>
          <w:sz w:val="36"/>
          <w:szCs w:val="36"/>
        </w:rPr>
        <w:t>项目支出</w:t>
      </w:r>
      <w:r>
        <w:rPr>
          <w:rFonts w:ascii="宋体" w:hAnsi="宋体" w:eastAsia="宋体" w:cs="Arial"/>
          <w:b/>
          <w:bCs/>
          <w:color w:val="auto"/>
          <w:sz w:val="36"/>
          <w:szCs w:val="36"/>
        </w:rPr>
        <w:t>绩效</w:t>
      </w:r>
      <w:r>
        <w:rPr>
          <w:rFonts w:hint="eastAsia" w:ascii="宋体" w:hAnsi="宋体" w:eastAsia="宋体" w:cs="Arial"/>
          <w:b/>
          <w:bCs/>
          <w:color w:val="auto"/>
          <w:sz w:val="36"/>
          <w:szCs w:val="36"/>
        </w:rPr>
        <w:t>评价报告</w:t>
      </w:r>
    </w:p>
    <w:p>
      <w:pPr>
        <w:jc w:val="center"/>
        <w:rPr>
          <w:rFonts w:ascii="仿宋_GB2312"/>
          <w:color w:val="auto"/>
          <w:szCs w:val="30"/>
        </w:rPr>
      </w:pPr>
    </w:p>
    <w:p>
      <w:pPr>
        <w:pStyle w:val="2"/>
        <w:spacing w:line="360" w:lineRule="auto"/>
        <w:rPr>
          <w:rFonts w:ascii="宋体" w:hAnsi="宋体" w:eastAsia="宋体"/>
          <w:color w:val="auto"/>
          <w:sz w:val="32"/>
          <w:szCs w:val="32"/>
        </w:rPr>
      </w:pPr>
      <w:bookmarkStart w:id="0" w:name="_Toc68703827"/>
      <w:r>
        <w:rPr>
          <w:rFonts w:hint="eastAsia" w:ascii="宋体" w:hAnsi="宋体" w:eastAsia="宋体"/>
          <w:color w:val="auto"/>
          <w:sz w:val="32"/>
          <w:szCs w:val="32"/>
        </w:rPr>
        <w:t>一、基本情况</w:t>
      </w:r>
      <w:bookmarkEnd w:id="0"/>
    </w:p>
    <w:p>
      <w:pPr>
        <w:pStyle w:val="3"/>
        <w:spacing w:line="360" w:lineRule="auto"/>
        <w:rPr>
          <w:rFonts w:hint="eastAsia" w:ascii="仿宋_GB2312" w:eastAsia="仿宋_GB2312"/>
          <w:b w:val="0"/>
          <w:bCs w:val="0"/>
          <w:color w:val="auto"/>
        </w:rPr>
      </w:pPr>
      <w:bookmarkStart w:id="1" w:name="_Toc68703828"/>
      <w:r>
        <w:rPr>
          <w:rFonts w:hint="eastAsia" w:ascii="仿宋_GB2312" w:eastAsia="仿宋_GB2312"/>
          <w:b w:val="0"/>
          <w:bCs w:val="0"/>
          <w:color w:val="auto"/>
        </w:rPr>
        <w:t>（一）项目概况。</w:t>
      </w:r>
      <w:bookmarkEnd w:id="1"/>
    </w:p>
    <w:p>
      <w:pPr>
        <w:spacing w:line="360" w:lineRule="auto"/>
        <w:ind w:firstLine="600" w:firstLineChars="200"/>
        <w:rPr>
          <w:rFonts w:hint="eastAsia" w:ascii="仿宋_GB2312"/>
          <w:color w:val="auto"/>
        </w:rPr>
      </w:pPr>
      <w:r>
        <w:rPr>
          <w:rFonts w:hint="eastAsia" w:ascii="仿宋_GB2312"/>
          <w:color w:val="auto"/>
        </w:rPr>
        <w:t>1</w:t>
      </w:r>
      <w:r>
        <w:rPr>
          <w:rFonts w:hint="eastAsia" w:ascii="仿宋_GB2312"/>
          <w:color w:val="auto"/>
          <w:lang w:val="en-US" w:eastAsia="zh-CN"/>
        </w:rPr>
        <w:t>.</w:t>
      </w:r>
      <w:r>
        <w:rPr>
          <w:rFonts w:hint="eastAsia" w:ascii="仿宋_GB2312"/>
          <w:color w:val="auto"/>
        </w:rPr>
        <w:t>项目背景</w:t>
      </w:r>
    </w:p>
    <w:p>
      <w:pPr>
        <w:spacing w:line="360" w:lineRule="auto"/>
        <w:ind w:firstLine="600" w:firstLineChars="200"/>
        <w:rPr>
          <w:rFonts w:hint="eastAsia" w:ascii="仿宋_GB2312"/>
          <w:color w:val="auto"/>
        </w:rPr>
      </w:pPr>
      <w:r>
        <w:rPr>
          <w:rFonts w:hint="eastAsia" w:ascii="仿宋_GB2312"/>
          <w:color w:val="auto"/>
        </w:rPr>
        <w:t>根据自治区财政厅《关于提前下达农村客运等行业成品油价格改革财政补贴资金的通知》（新财建【2021】214号）、《关于提前下达农村客运等行业成品油价格改革财政补贴资金的通知》（伊州财建【2022】39号）及《关于印发&lt;新疆维吾尔自治区城乡道路客运成品油价格补助专项资金管理办法&gt;的通知》（新财建【2018】101号），转移支付收入科目列“1100227固定数额补助”，支出功能分类科目：农村客运列“2140402对农村道路客运的补贴”，城市公交列“2140401对城市公交的补贴”，对农村客运、城市公交燃油消耗进行补助，鼓励农村客运、城市公交企业积极承担社会义务，切实减轻企业运行负担，让人民群众共享交通运输改革发展成果，推动运输服务高质量发展。</w:t>
      </w:r>
    </w:p>
    <w:p>
      <w:pPr>
        <w:spacing w:line="360" w:lineRule="auto"/>
        <w:ind w:firstLine="600" w:firstLineChars="200"/>
        <w:rPr>
          <w:rFonts w:ascii="仿宋_GB2312"/>
          <w:color w:val="auto"/>
        </w:rPr>
      </w:pPr>
      <w:r>
        <w:rPr>
          <w:rFonts w:hint="eastAsia" w:ascii="仿宋_GB2312"/>
          <w:color w:val="auto"/>
        </w:rPr>
        <w:t>2</w:t>
      </w:r>
      <w:r>
        <w:rPr>
          <w:rFonts w:hint="eastAsia" w:ascii="仿宋_GB2312"/>
          <w:color w:val="auto"/>
          <w:lang w:val="en-US" w:eastAsia="zh-CN"/>
        </w:rPr>
        <w:t>.</w:t>
      </w:r>
      <w:r>
        <w:rPr>
          <w:rFonts w:hint="eastAsia" w:ascii="仿宋_GB2312"/>
          <w:color w:val="auto"/>
        </w:rPr>
        <w:t>主要内容</w:t>
      </w:r>
      <w:r>
        <w:rPr>
          <w:rFonts w:hint="eastAsia"/>
          <w:color w:val="auto"/>
        </w:rPr>
        <w:t>及</w:t>
      </w:r>
      <w:r>
        <w:rPr>
          <w:rFonts w:hint="eastAsia" w:ascii="仿宋_GB2312"/>
          <w:color w:val="auto"/>
        </w:rPr>
        <w:t>实施情况</w:t>
      </w:r>
    </w:p>
    <w:p>
      <w:pPr>
        <w:spacing w:line="360" w:lineRule="auto"/>
        <w:ind w:firstLine="600" w:firstLineChars="200"/>
        <w:rPr>
          <w:rFonts w:hint="eastAsia" w:ascii="仿宋_GB2312"/>
          <w:color w:val="auto"/>
        </w:rPr>
      </w:pPr>
      <w:r>
        <w:rPr>
          <w:rFonts w:hint="eastAsia" w:ascii="仿宋_GB2312"/>
          <w:color w:val="auto"/>
        </w:rPr>
        <w:t>主要内容：(一)农村客运燃油补贴</w:t>
      </w:r>
    </w:p>
    <w:p>
      <w:pPr>
        <w:spacing w:line="360" w:lineRule="auto"/>
        <w:ind w:firstLine="600" w:firstLineChars="200"/>
        <w:rPr>
          <w:rFonts w:hint="eastAsia" w:ascii="仿宋_GB2312"/>
          <w:color w:val="auto"/>
        </w:rPr>
      </w:pPr>
      <w:r>
        <w:rPr>
          <w:rFonts w:hint="eastAsia" w:ascii="仿宋_GB2312"/>
          <w:color w:val="auto"/>
        </w:rPr>
        <w:t>经核算，一级网络车辆油价补贴款=每经营月每车627元+每经营月每客位117元。二级网络车辆油价补贴款=每经营月每车991元+每经营月每客位143元。三级网络车辆油价补贴款每经营月每车1400元+每经营月每客位192元。</w:t>
      </w:r>
    </w:p>
    <w:p>
      <w:pPr>
        <w:spacing w:line="360" w:lineRule="auto"/>
        <w:ind w:firstLine="600" w:firstLineChars="200"/>
        <w:rPr>
          <w:rFonts w:hint="eastAsia" w:ascii="仿宋_GB2312"/>
          <w:color w:val="auto"/>
        </w:rPr>
      </w:pPr>
      <w:r>
        <w:rPr>
          <w:rFonts w:hint="eastAsia" w:ascii="仿宋_GB2312"/>
          <w:color w:val="auto"/>
        </w:rPr>
        <w:t>(二)城市公交成品油价格补助</w:t>
      </w:r>
    </w:p>
    <w:p>
      <w:pPr>
        <w:spacing w:line="360" w:lineRule="auto"/>
        <w:ind w:firstLine="600" w:firstLineChars="200"/>
        <w:rPr>
          <w:rFonts w:hint="eastAsia" w:ascii="仿宋_GB2312"/>
          <w:color w:val="auto"/>
        </w:rPr>
      </w:pPr>
      <w:r>
        <w:rPr>
          <w:rFonts w:hint="eastAsia" w:ascii="仿宋_GB2312"/>
          <w:color w:val="auto"/>
        </w:rPr>
        <w:t>经核算城市公交成品油价格补助资金为937(元)标台/经营月。</w:t>
      </w:r>
    </w:p>
    <w:p>
      <w:pPr>
        <w:spacing w:line="360" w:lineRule="auto"/>
        <w:ind w:firstLine="600" w:firstLineChars="200"/>
        <w:rPr>
          <w:rFonts w:hint="eastAsia" w:ascii="仿宋_GB2312"/>
          <w:color w:val="auto"/>
        </w:rPr>
      </w:pPr>
      <w:r>
        <w:rPr>
          <w:rFonts w:hint="eastAsia" w:ascii="仿宋_GB2312"/>
          <w:color w:val="auto"/>
        </w:rPr>
        <w:t>(三)新能源公交车购置及运营补助</w:t>
      </w:r>
    </w:p>
    <w:p>
      <w:pPr>
        <w:spacing w:line="360" w:lineRule="auto"/>
        <w:ind w:firstLine="600" w:firstLineChars="200"/>
        <w:rPr>
          <w:rFonts w:hint="eastAsia" w:ascii="仿宋_GB2312"/>
          <w:color w:val="auto"/>
        </w:rPr>
      </w:pPr>
      <w:r>
        <w:rPr>
          <w:rFonts w:hint="eastAsia" w:ascii="仿宋_GB2312"/>
          <w:color w:val="auto"/>
        </w:rPr>
        <w:t>新能源公交车运营补助，纯电动车车长8-10米的每车每年补助6万元，纯电动车车长大于10米的每车每年补助8万元，插电式混合动力(含增程式)公交车车长大于10米的每车每年补助4万元。新购置的新能源纯电动公交车每车最高补助6万元。</w:t>
      </w:r>
    </w:p>
    <w:p>
      <w:pPr>
        <w:spacing w:line="360" w:lineRule="auto"/>
        <w:ind w:firstLine="600" w:firstLineChars="200"/>
        <w:rPr>
          <w:rFonts w:hint="eastAsia" w:ascii="仿宋_GB2312"/>
          <w:color w:val="auto"/>
        </w:rPr>
      </w:pPr>
      <w:r>
        <w:rPr>
          <w:rFonts w:hint="eastAsia" w:ascii="仿宋_GB2312"/>
          <w:color w:val="auto"/>
        </w:rPr>
        <w:t>实施情况：2021年度根据辖区农村道路客运实际，州级下发财政专项资金13020207元，其中：2021年度农村客运成品油价格改革财政补贴12861479元；城市公交成品油燃油补贴运营补助158728元。2021年度霍城县累计发放13002437元（壹仟叁佰万零贰仟肆佰叁拾柒元），予以退还财政17770元，其中：</w:t>
      </w:r>
    </w:p>
    <w:p>
      <w:pPr>
        <w:spacing w:line="360" w:lineRule="auto"/>
        <w:ind w:firstLine="600" w:firstLineChars="200"/>
        <w:rPr>
          <w:rFonts w:hint="eastAsia" w:ascii="仿宋_GB2312"/>
          <w:color w:val="auto"/>
        </w:rPr>
      </w:pPr>
      <w:r>
        <w:rPr>
          <w:rFonts w:hint="eastAsia" w:ascii="仿宋_GB2312"/>
          <w:color w:val="auto"/>
        </w:rPr>
        <w:t>（一）申报城市公交成品油燃油补贴运营补助为霍城县阳光河谷出租车服务有限公司21辆158728元（拾伍万捌仟柒佰贰拾捌元）。</w:t>
      </w:r>
    </w:p>
    <w:p>
      <w:pPr>
        <w:spacing w:line="360" w:lineRule="auto"/>
        <w:ind w:firstLine="600" w:firstLineChars="200"/>
        <w:rPr>
          <w:rFonts w:hint="eastAsia" w:ascii="仿宋_GB2312"/>
          <w:color w:val="auto"/>
        </w:rPr>
      </w:pPr>
      <w:r>
        <w:rPr>
          <w:rFonts w:hint="eastAsia" w:ascii="仿宋_GB2312"/>
          <w:color w:val="auto"/>
        </w:rPr>
        <w:t>（二）申报5家农村客运油价补贴总车辆数为586辆；客位数为4566座；2021年实际经营月数为5493月。</w:t>
      </w:r>
    </w:p>
    <w:p>
      <w:pPr>
        <w:spacing w:line="360" w:lineRule="auto"/>
        <w:ind w:firstLine="600" w:firstLineChars="200"/>
        <w:rPr>
          <w:rFonts w:hint="eastAsia" w:ascii="仿宋_GB2312"/>
          <w:color w:val="auto"/>
        </w:rPr>
      </w:pPr>
      <w:r>
        <w:rPr>
          <w:rFonts w:hint="eastAsia" w:ascii="仿宋_GB2312"/>
          <w:color w:val="auto"/>
        </w:rPr>
        <w:t>一级网络车辆：84辆，客位数834座，实际经营月数823月；二级网络车辆：253 辆，客位数1470 座，实际经营月数2395月；三级网络车辆：249 辆，客位数2262 座，实际经营月数2275月。</w:t>
      </w:r>
    </w:p>
    <w:p>
      <w:pPr>
        <w:spacing w:line="360" w:lineRule="auto"/>
        <w:ind w:firstLine="600" w:firstLineChars="200"/>
        <w:rPr>
          <w:rFonts w:hint="eastAsia" w:ascii="仿宋_GB2312"/>
          <w:color w:val="auto"/>
        </w:rPr>
      </w:pPr>
      <w:r>
        <w:rPr>
          <w:rFonts w:hint="eastAsia" w:ascii="仿宋_GB2312"/>
          <w:color w:val="auto"/>
        </w:rPr>
        <w:t>2021年度霍城县农村客运车辆燃油补贴州级下发资金12861479元，实际核发资金12843709元，予以退还财政17770元。</w:t>
      </w:r>
    </w:p>
    <w:p>
      <w:pPr>
        <w:spacing w:line="360" w:lineRule="auto"/>
        <w:ind w:firstLine="600" w:firstLineChars="200"/>
        <w:rPr>
          <w:rFonts w:ascii="仿宋_GB2312"/>
          <w:color w:val="auto"/>
        </w:rPr>
      </w:pPr>
      <w:r>
        <w:rPr>
          <w:rFonts w:ascii="仿宋_GB2312"/>
          <w:color w:val="auto"/>
        </w:rPr>
        <w:t>3</w:t>
      </w:r>
      <w:r>
        <w:rPr>
          <w:rFonts w:hint="eastAsia" w:ascii="仿宋_GB2312"/>
          <w:color w:val="auto"/>
          <w:lang w:val="en-US" w:eastAsia="zh-CN"/>
        </w:rPr>
        <w:t>.</w:t>
      </w:r>
      <w:r>
        <w:rPr>
          <w:rFonts w:hint="eastAsia" w:ascii="仿宋_GB2312"/>
          <w:color w:val="auto"/>
        </w:rPr>
        <w:t>资金投入和使用情况</w:t>
      </w:r>
    </w:p>
    <w:p>
      <w:pPr>
        <w:spacing w:line="360" w:lineRule="auto"/>
        <w:ind w:firstLine="600" w:firstLineChars="200"/>
        <w:rPr>
          <w:rFonts w:hint="eastAsia"/>
          <w:color w:val="auto"/>
        </w:rPr>
      </w:pPr>
      <w:r>
        <w:rPr>
          <w:rFonts w:hint="eastAsia"/>
          <w:color w:val="auto"/>
        </w:rPr>
        <w:t>资金投入情况：该项目年初预算数0万元，全年预算数1300.24万元，实际总投入1300.24万元，该项目资金已全部落实到位，资金来源为中央转移支付资金。</w:t>
      </w:r>
    </w:p>
    <w:p>
      <w:pPr>
        <w:spacing w:line="360" w:lineRule="auto"/>
        <w:ind w:firstLine="600" w:firstLineChars="200"/>
        <w:rPr>
          <w:rFonts w:hint="eastAsia"/>
          <w:color w:val="auto"/>
        </w:rPr>
      </w:pPr>
      <w:r>
        <w:rPr>
          <w:rFonts w:hint="eastAsia"/>
          <w:color w:val="auto"/>
        </w:rPr>
        <w:t>资金使用情况：该项目年初预算0万元，全年预算数1300.24万元，全年执行数1300.24万元，预算执行率为100%。</w:t>
      </w:r>
    </w:p>
    <w:p>
      <w:pPr>
        <w:pStyle w:val="3"/>
        <w:spacing w:line="360" w:lineRule="auto"/>
        <w:ind w:firstLine="640" w:firstLineChars="200"/>
        <w:rPr>
          <w:rFonts w:hint="eastAsia"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spacing w:line="360" w:lineRule="auto"/>
        <w:ind w:firstLine="600" w:firstLineChars="200"/>
        <w:rPr>
          <w:rFonts w:hint="eastAsia"/>
          <w:color w:val="auto"/>
        </w:rPr>
      </w:pPr>
      <w:r>
        <w:rPr>
          <w:rFonts w:hint="eastAsia"/>
          <w:color w:val="auto"/>
        </w:rPr>
        <w:t>1</w:t>
      </w:r>
      <w:r>
        <w:rPr>
          <w:rFonts w:hint="eastAsia"/>
          <w:color w:val="auto"/>
          <w:lang w:val="en-US" w:eastAsia="zh-CN"/>
        </w:rPr>
        <w:t>.</w:t>
      </w:r>
      <w:r>
        <w:rPr>
          <w:rFonts w:hint="eastAsia"/>
          <w:color w:val="auto"/>
        </w:rPr>
        <w:t>总体目标：对农村客运、城市公交燃油消耗进行补助，鼓励农村客运、城市公交企业积极承担社会义务，切实减轻企业运行负担，让人民群众共享交通运输改革发展成果，推动运输服务高质量发展。</w:t>
      </w:r>
    </w:p>
    <w:p>
      <w:pPr>
        <w:spacing w:line="360" w:lineRule="auto"/>
        <w:ind w:firstLine="600" w:firstLineChars="200"/>
        <w:rPr>
          <w:color w:val="auto"/>
        </w:rPr>
      </w:pPr>
      <w:r>
        <w:rPr>
          <w:color w:val="auto"/>
        </w:rPr>
        <w:t>2</w:t>
      </w:r>
      <w:r>
        <w:rPr>
          <w:rFonts w:hint="eastAsia"/>
          <w:color w:val="auto"/>
          <w:lang w:val="en-US" w:eastAsia="zh-CN"/>
        </w:rPr>
        <w:t>.</w:t>
      </w:r>
      <w:r>
        <w:rPr>
          <w:rFonts w:hint="eastAsia"/>
          <w:color w:val="auto"/>
        </w:rPr>
        <w:t>阶段性目标：对农村客运、城市公交燃油消耗进行补助，鼓励农村客运、城市公交企业积极承担社会义务，切实减轻企业运行负担，让人民群众共享交通运输改革发展成果，推动运输服务高质量发展。</w:t>
      </w:r>
    </w:p>
    <w:p>
      <w:pPr>
        <w:pStyle w:val="2"/>
        <w:spacing w:line="360" w:lineRule="auto"/>
        <w:rPr>
          <w:rFonts w:ascii="宋体" w:hAnsi="宋体" w:eastAsia="宋体"/>
          <w:color w:val="auto"/>
          <w:sz w:val="32"/>
          <w:szCs w:val="32"/>
        </w:rPr>
      </w:pPr>
      <w:bookmarkStart w:id="3" w:name="_Toc68703830"/>
      <w:r>
        <w:rPr>
          <w:rFonts w:hint="eastAsia" w:ascii="宋体" w:hAnsi="宋体" w:eastAsia="宋体"/>
          <w:color w:val="auto"/>
          <w:sz w:val="32"/>
          <w:szCs w:val="32"/>
        </w:rPr>
        <w:t>二、绩效评价工作开展情况</w:t>
      </w:r>
      <w:bookmarkEnd w:id="3"/>
    </w:p>
    <w:p>
      <w:pPr>
        <w:pStyle w:val="3"/>
        <w:spacing w:line="360" w:lineRule="auto"/>
        <w:ind w:firstLine="320" w:firstLineChars="100"/>
        <w:rPr>
          <w:rFonts w:hint="eastAsia"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spacing w:line="360" w:lineRule="auto"/>
        <w:ind w:firstLine="600" w:firstLineChars="200"/>
        <w:rPr>
          <w:color w:val="auto"/>
        </w:rPr>
      </w:pPr>
      <w:r>
        <w:rPr>
          <w:rFonts w:hint="eastAsia"/>
          <w:color w:val="auto"/>
        </w:rPr>
        <w:t>1</w:t>
      </w:r>
      <w:r>
        <w:rPr>
          <w:rFonts w:hint="eastAsia"/>
          <w:color w:val="auto"/>
          <w:lang w:val="en-US" w:eastAsia="zh-CN"/>
        </w:rPr>
        <w:t>.</w:t>
      </w:r>
      <w:r>
        <w:rPr>
          <w:rFonts w:hint="eastAsia"/>
          <w:color w:val="auto"/>
        </w:rPr>
        <w:t>绩效评价目的：</w:t>
      </w:r>
    </w:p>
    <w:p>
      <w:pPr>
        <w:spacing w:line="360" w:lineRule="auto"/>
        <w:ind w:firstLine="640" w:firstLineChars="200"/>
        <w:jc w:val="left"/>
        <w:rPr>
          <w:rFonts w:hint="eastAsia" w:ascii="仿宋_GB2312"/>
          <w:bCs/>
          <w:color w:val="auto"/>
          <w:sz w:val="32"/>
          <w:szCs w:val="32"/>
        </w:rPr>
      </w:pPr>
      <w:r>
        <w:rPr>
          <w:rFonts w:hint="eastAsia" w:ascii="仿宋_GB2312"/>
          <w:bCs/>
          <w:color w:val="auto"/>
          <w:sz w:val="32"/>
          <w:szCs w:val="32"/>
        </w:rPr>
        <w:t>通过绩效评价，客观地评判项目的管理绩效，了解和掌握关于预拨2022年农村客运补贴资金及城市交通发展奖励资金的通知专项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并加强项目绩效管理。</w:t>
      </w:r>
    </w:p>
    <w:p>
      <w:pPr>
        <w:spacing w:line="360" w:lineRule="auto"/>
        <w:ind w:firstLine="600" w:firstLineChars="200"/>
        <w:jc w:val="left"/>
        <w:rPr>
          <w:color w:val="auto"/>
        </w:rPr>
      </w:pPr>
      <w:r>
        <w:rPr>
          <w:rFonts w:hint="eastAsia"/>
          <w:color w:val="auto"/>
        </w:rPr>
        <w:t>2</w:t>
      </w:r>
      <w:r>
        <w:rPr>
          <w:rFonts w:hint="eastAsia"/>
          <w:color w:val="auto"/>
          <w:lang w:val="en-US" w:eastAsia="zh-CN"/>
        </w:rPr>
        <w:t>.</w:t>
      </w:r>
      <w:r>
        <w:rPr>
          <w:rFonts w:hint="eastAsia"/>
          <w:color w:val="auto"/>
        </w:rPr>
        <w:t>绩效评价对象：</w:t>
      </w:r>
    </w:p>
    <w:p>
      <w:pPr>
        <w:spacing w:line="360" w:lineRule="auto"/>
        <w:ind w:firstLine="600" w:firstLineChars="200"/>
        <w:rPr>
          <w:rFonts w:hint="eastAsia"/>
          <w:color w:val="auto"/>
        </w:rPr>
      </w:pPr>
      <w:r>
        <w:rPr>
          <w:rFonts w:hint="eastAsia"/>
          <w:color w:val="auto"/>
        </w:rPr>
        <w:t>农村客运等行业成品油价格改革补贴资金</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农村客运等行业成品油价格改革补贴资金评价，评价核心为资金的支出完成情况和效果。</w:t>
      </w:r>
    </w:p>
    <w:p>
      <w:pPr>
        <w:spacing w:line="360" w:lineRule="auto"/>
        <w:rPr>
          <w:color w:val="auto"/>
        </w:rPr>
      </w:pPr>
    </w:p>
    <w:p>
      <w:pPr>
        <w:pStyle w:val="3"/>
        <w:spacing w:line="360" w:lineRule="auto"/>
        <w:ind w:firstLine="640" w:firstLineChars="200"/>
        <w:rPr>
          <w:rFonts w:hint="eastAsia"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（四）公开透明。本次项目支出绩效评价结果已依法依规在各客运站点公开，并自觉接受社会监督。</w:t>
      </w:r>
    </w:p>
    <w:p>
      <w:pPr>
        <w:spacing w:line="360" w:lineRule="auto"/>
        <w:rPr>
          <w:color w:val="auto"/>
        </w:rPr>
      </w:pPr>
    </w:p>
    <w:p>
      <w:pPr>
        <w:spacing w:line="360" w:lineRule="auto"/>
        <w:ind w:firstLine="600" w:firstLineChars="200"/>
        <w:jc w:val="left"/>
        <w:rPr>
          <w:rFonts w:hint="eastAsia"/>
          <w:color w:val="auto"/>
        </w:rPr>
      </w:pPr>
      <w:r>
        <w:rPr>
          <w:rFonts w:hint="eastAsia"/>
          <w:color w:val="auto"/>
        </w:rPr>
        <w:t>2、评价指标体系（附表说明）</w:t>
      </w:r>
    </w:p>
    <w:p>
      <w:pPr>
        <w:pStyle w:val="3"/>
        <w:spacing w:before="0" w:after="0" w:line="240" w:lineRule="auto"/>
        <w:jc w:val="center"/>
        <w:rPr>
          <w:rFonts w:ascii="Times New Roman" w:hAnsi="Times New Roman" w:eastAsia="仿宋_GB2312" w:cs="Times New Roman"/>
          <w:b w:val="0"/>
          <w:bCs w:val="0"/>
          <w:color w:val="auto"/>
          <w:w w:val="90"/>
          <w:sz w:val="30"/>
          <w:szCs w:val="24"/>
        </w:rPr>
      </w:pPr>
      <w:r>
        <w:rPr>
          <w:rFonts w:hint="eastAsia" w:ascii="Times New Roman" w:hAnsi="Times New Roman" w:eastAsia="仿宋_GB2312" w:cs="Times New Roman"/>
          <w:b w:val="0"/>
          <w:bCs w:val="0"/>
          <w:color w:val="auto"/>
          <w:w w:val="90"/>
          <w:sz w:val="30"/>
          <w:szCs w:val="24"/>
        </w:rPr>
        <w:t>农村客运等行业成品油价格改革补贴资金项目支出绩效评价指标体系</w:t>
      </w:r>
    </w:p>
    <w:tbl>
      <w:tblPr>
        <w:tblStyle w:val="8"/>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3</w:t>
            </w:r>
          </w:p>
        </w:tc>
        <w:tc>
          <w:tcPr>
            <w:tcW w:w="874" w:type="dxa"/>
            <w:shd w:val="clear" w:color="auto" w:fill="FFFFFF"/>
          </w:tcPr>
          <w:p>
            <w:pPr>
              <w:spacing w:line="600" w:lineRule="auto"/>
              <w:jc w:val="center"/>
              <w:rPr>
                <w:color w:val="auto"/>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3</w:t>
            </w:r>
          </w:p>
        </w:tc>
        <w:tc>
          <w:tcPr>
            <w:tcW w:w="874" w:type="dxa"/>
            <w:shd w:val="clear" w:color="000000" w:fill="FFFFFF"/>
          </w:tcPr>
          <w:p>
            <w:pPr>
              <w:spacing w:line="600" w:lineRule="auto"/>
              <w:jc w:val="center"/>
              <w:rPr>
                <w:color w:val="auto"/>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tcPr>
          <w:p>
            <w:pPr>
              <w:spacing w:line="600" w:lineRule="auto"/>
              <w:jc w:val="center"/>
              <w:rPr>
                <w:color w:val="auto"/>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color w:val="auto"/>
              </w:rPr>
            </w:pPr>
            <w:r>
              <w:rPr>
                <w:rFonts w:hint="eastAsia"/>
                <w:color w:val="auto"/>
                <w:lang w:val="en-US" w:eastAsia="zh-CN"/>
              </w:rPr>
              <w:t>3</w:t>
            </w:r>
          </w:p>
        </w:tc>
        <w:tc>
          <w:tcPr>
            <w:tcW w:w="874" w:type="dxa"/>
            <w:tcBorders>
              <w:bottom w:val="single" w:color="auto" w:sz="4" w:space="0"/>
            </w:tcBorders>
            <w:shd w:val="clear" w:color="auto" w:fill="FFFFFF"/>
          </w:tcPr>
          <w:p>
            <w:pPr>
              <w:spacing w:line="600" w:lineRule="auto"/>
              <w:jc w:val="center"/>
              <w:rPr>
                <w:color w:val="auto"/>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color w:val="auto"/>
              </w:rPr>
            </w:pPr>
            <w:r>
              <w:rPr>
                <w:rFonts w:hint="eastAsia"/>
                <w:color w:val="auto"/>
                <w:lang w:val="en-US" w:eastAsia="zh-CN"/>
              </w:rPr>
              <w:t>3</w:t>
            </w:r>
          </w:p>
        </w:tc>
        <w:tc>
          <w:tcPr>
            <w:tcW w:w="874" w:type="dxa"/>
            <w:shd w:val="clear" w:color="auto" w:fill="FFFFFF"/>
          </w:tcPr>
          <w:p>
            <w:pPr>
              <w:spacing w:line="600" w:lineRule="auto"/>
              <w:jc w:val="center"/>
              <w:rPr>
                <w:color w:val="auto"/>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color w:val="auto"/>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color w:val="auto"/>
              </w:rPr>
            </w:pPr>
            <w:r>
              <w:rPr>
                <w:rFonts w:hint="eastAsia"/>
                <w:color w:val="auto"/>
                <w:lang w:val="en-US" w:eastAsia="zh-CN"/>
              </w:rPr>
              <w:t>4</w:t>
            </w:r>
          </w:p>
        </w:tc>
        <w:tc>
          <w:tcPr>
            <w:tcW w:w="874" w:type="dxa"/>
            <w:tcBorders>
              <w:bottom w:val="single" w:color="auto" w:sz="4" w:space="0"/>
            </w:tcBorders>
            <w:shd w:val="clear" w:color="auto" w:fill="FFFFFF"/>
          </w:tcPr>
          <w:p>
            <w:pPr>
              <w:spacing w:line="600" w:lineRule="auto"/>
              <w:jc w:val="center"/>
              <w:rPr>
                <w:color w:val="auto"/>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color w:val="auto"/>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color w:val="auto"/>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color w:val="auto"/>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color w:val="auto"/>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color w:val="auto"/>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color w:val="auto"/>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color w:val="auto"/>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color w:val="auto"/>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15</w:t>
            </w:r>
          </w:p>
        </w:tc>
        <w:tc>
          <w:tcPr>
            <w:tcW w:w="874" w:type="dxa"/>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15</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spacing w:line="360" w:lineRule="auto"/>
        <w:ind w:firstLine="600" w:firstLineChars="200"/>
        <w:jc w:val="left"/>
        <w:rPr>
          <w:rFonts w:hint="eastAsia"/>
          <w:color w:val="auto"/>
        </w:rPr>
      </w:pPr>
      <w:r>
        <w:rPr>
          <w:rFonts w:hint="eastAsia"/>
          <w:color w:val="auto"/>
        </w:rPr>
        <w:t>3、评价方法</w:t>
      </w:r>
    </w:p>
    <w:p>
      <w:pPr>
        <w:spacing w:line="360" w:lineRule="auto"/>
        <w:ind w:firstLine="640" w:firstLineChars="200"/>
        <w:rPr>
          <w:color w:val="auto"/>
        </w:rPr>
      </w:pPr>
      <w:r>
        <w:rPr>
          <w:rFonts w:hint="eastAsia"/>
          <w:bCs/>
          <w:color w:val="auto"/>
          <w:sz w:val="32"/>
          <w:szCs w:val="32"/>
        </w:rPr>
        <w:t>本次项目支出绩效自评</w:t>
      </w:r>
      <w:bookmarkStart w:id="20" w:name="_GoBack"/>
      <w:bookmarkEnd w:id="20"/>
      <w:r>
        <w:rPr>
          <w:rFonts w:hint="eastAsia"/>
          <w:bCs/>
          <w:color w:val="auto"/>
          <w:sz w:val="32"/>
          <w:szCs w:val="32"/>
        </w:rPr>
        <w:t>采用成本效益分析法方法，原因是：农村客运燃油补贴政策是通过国家调控的方式对农村客运进行的补贴，政策的执行在一定程度上缓解了燃油涨价给农村客运行业带来的负担，通过燃油补贴的发放进一步稳定了从业人的从业稳定性，既能保证农村客运经营者的利益，也能确保农村客运市场的健康发展，从而确保老百姓正常出行。</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评价标准</w:t>
      </w:r>
    </w:p>
    <w:p>
      <w:pPr>
        <w:pStyle w:val="3"/>
        <w:spacing w:line="360" w:lineRule="auto"/>
        <w:ind w:firstLine="640" w:firstLineChars="200"/>
        <w:rPr>
          <w:rFonts w:hint="eastAsia" w:ascii="Times New Roman" w:hAnsi="Times New Roman" w:eastAsia="仿宋_GB2312" w:cs="Times New Roman"/>
          <w:b w:val="0"/>
          <w:bCs/>
          <w:color w:val="auto"/>
          <w:kern w:val="2"/>
          <w:sz w:val="32"/>
          <w:szCs w:val="32"/>
          <w:lang w:val="en-US" w:eastAsia="zh-CN" w:bidi="ar-SA"/>
        </w:rPr>
      </w:pPr>
      <w:bookmarkStart w:id="6" w:name="_Toc68703833"/>
      <w:r>
        <w:rPr>
          <w:rFonts w:hint="eastAsia" w:ascii="Times New Roman" w:hAnsi="Times New Roman" w:eastAsia="仿宋_GB2312" w:cs="Times New Roman"/>
          <w:b w:val="0"/>
          <w:bCs/>
          <w:color w:val="auto"/>
          <w:kern w:val="2"/>
          <w:sz w:val="32"/>
          <w:szCs w:val="32"/>
          <w:lang w:val="en-US" w:eastAsia="zh-CN" w:bidi="ar-SA"/>
        </w:rPr>
        <w:t>本次项目支出绩效自评采用计划标准，原因是根据自治区财政厅《关于提前下达农村客运等行业成品油价格改革财政补贴资金的通知》（新财建【2021】214号）、《关于提前下达农村客运等行业成品油价格改革财政补贴资金的通知》（伊州财建【2022】39号）及《关于印发&lt;新疆维吾尔自治区城乡道路客运成品油价格补助专项资金管理办法&gt;的通知》（新财建【2018】101号），转移支付收入科目列“1100227固定数额补助”，支出功能分类科目：农村客运列“2140402对农村道路客运的补贴”，城市公交列“2140401对城市公交的补贴”，对农村客运、城市公交燃油消耗进行补助，鼓励农村客运、城市公交企业积极承担社会义务，切实减轻企业运行负担，让人民群众共享交通运输改革发展成果，推动运输服务高质量发展。</w:t>
      </w:r>
    </w:p>
    <w:p>
      <w:pPr>
        <w:pStyle w:val="3"/>
        <w:spacing w:line="360" w:lineRule="auto"/>
        <w:ind w:firstLine="640" w:firstLineChars="200"/>
        <w:rPr>
          <w:rFonts w:hint="eastAsia" w:ascii="Times New Roman" w:hAnsi="Times New Roman" w:eastAsia="仿宋_GB2312" w:cs="Times New Roman"/>
          <w:b w:val="0"/>
          <w:bCs/>
          <w:color w:val="auto"/>
          <w:kern w:val="2"/>
          <w:sz w:val="32"/>
          <w:szCs w:val="32"/>
          <w:lang w:val="en-US" w:eastAsia="zh-CN" w:bidi="ar-SA"/>
        </w:rPr>
      </w:pPr>
      <w:r>
        <w:rPr>
          <w:rFonts w:hint="eastAsia" w:ascii="Times New Roman" w:hAnsi="Times New Roman" w:eastAsia="仿宋_GB2312" w:cs="Times New Roman"/>
          <w:b w:val="0"/>
          <w:bCs/>
          <w:color w:val="auto"/>
          <w:kern w:val="2"/>
          <w:sz w:val="32"/>
          <w:szCs w:val="32"/>
          <w:lang w:val="en-US" w:eastAsia="zh-CN" w:bidi="ar-SA"/>
        </w:rPr>
        <w:t>（三）绩效评价工作过程。</w:t>
      </w:r>
      <w:bookmarkEnd w:id="6"/>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16</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25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分析评价：</w:t>
      </w:r>
    </w:p>
    <w:p>
      <w:pPr>
        <w:spacing w:line="360" w:lineRule="auto"/>
        <w:ind w:firstLine="600" w:firstLineChars="200"/>
        <w:rPr>
          <w:rFonts w:ascii="仿宋_GB2312"/>
          <w:color w:val="auto"/>
        </w:rPr>
      </w:pPr>
      <w:r>
        <w:rPr>
          <w:rFonts w:hint="eastAsia"/>
          <w:color w:val="auto"/>
        </w:rPr>
        <w:t>2023年3月25日-3月30日，评价组按照绩效评价的原则和规范，对取得的资料进行审查核实，对采集的数据进行分析，按照绩效评价指标评分表逐项进行打分、分析，汇总各方评价结果，综合分析并形成评价结论。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3"/>
        <w:spacing w:before="0" w:after="0" w:line="240" w:lineRule="auto"/>
        <w:ind w:firstLine="640" w:firstLineChars="200"/>
        <w:rPr>
          <w:rFonts w:hint="eastAsia"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绩效评价原则，采用成本效益分析法方法，坚持</w:t>
      </w:r>
      <w:r>
        <w:rPr>
          <w:rFonts w:hint="eastAsia" w:ascii="Times New Roman" w:hAnsi="Times New Roman" w:eastAsia="仿宋_GB2312" w:cs="Times New Roman"/>
          <w:b w:val="0"/>
          <w:bCs/>
          <w:color w:val="auto"/>
          <w:kern w:val="2"/>
          <w:sz w:val="32"/>
          <w:szCs w:val="32"/>
          <w:lang w:val="en-US" w:eastAsia="zh-CN" w:bidi="ar-SA"/>
        </w:rPr>
        <w:t>计划标准</w:t>
      </w:r>
      <w:r>
        <w:rPr>
          <w:rFonts w:hint="eastAsia"/>
          <w:color w:val="auto"/>
        </w:rPr>
        <w:t>对本项目的立项、绩效目标、资金投入、资金管理、组织实施、产出数量、产出质量、产出时效、产出成本、项目效益进行了综合评价。</w:t>
      </w:r>
    </w:p>
    <w:p>
      <w:pPr>
        <w:spacing w:line="240" w:lineRule="auto"/>
        <w:ind w:firstLine="0" w:firstLineChars="0"/>
        <w:jc w:val="center"/>
        <w:rPr>
          <w:color w:val="auto"/>
        </w:rPr>
      </w:pPr>
      <w:r>
        <w:rPr>
          <w:rFonts w:hint="eastAsia"/>
          <w:color w:val="auto"/>
        </w:rPr>
        <w:t>农村客运等行业成品油价格改革补贴资</w:t>
      </w:r>
      <w:r>
        <w:rPr>
          <w:rFonts w:hint="eastAsia"/>
          <w:color w:val="auto"/>
          <w:lang w:eastAsia="zh-CN"/>
        </w:rPr>
        <w:t>金</w:t>
      </w:r>
      <w:r>
        <w:rPr>
          <w:rFonts w:hint="eastAsia"/>
          <w:color w:val="auto"/>
        </w:rPr>
        <w:t>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r>
    </w:tbl>
    <w:p>
      <w:pPr>
        <w:pStyle w:val="3"/>
        <w:spacing w:line="360" w:lineRule="auto"/>
        <w:ind w:firstLine="320" w:firstLineChars="100"/>
        <w:rPr>
          <w:rFonts w:hint="eastAsia"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本项目的项目决策、项目过程、项目产出、项目效益均达到了预期要求，最终评分为100分，评价等级为“优”，项目达成年度指标。</w:t>
      </w:r>
    </w:p>
    <w:p>
      <w:pPr>
        <w:pStyle w:val="2"/>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3"/>
        <w:spacing w:before="0" w:after="0" w:line="240" w:lineRule="auto"/>
        <w:ind w:firstLine="320" w:firstLineChars="100"/>
        <w:rPr>
          <w:rFonts w:hint="eastAsia"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立项依据充分性</w:t>
      </w:r>
    </w:p>
    <w:p>
      <w:pPr>
        <w:spacing w:line="360" w:lineRule="auto"/>
        <w:ind w:firstLine="600" w:firstLineChars="200"/>
        <w:jc w:val="left"/>
        <w:rPr>
          <w:rFonts w:hint="eastAsia"/>
          <w:color w:val="auto"/>
        </w:rPr>
      </w:pPr>
      <w:r>
        <w:rPr>
          <w:rFonts w:hint="eastAsia"/>
          <w:color w:val="auto"/>
        </w:rPr>
        <w:t>项目立项依据自治区财政厅《关于提前下达农村客运等行业成品油价格改革财政补贴资金的通知》（新财建【2021】214号）、《关于提前下达农村客运等行业成品油价格改革财政补贴资金的通知》（伊州财建【2022】39号）及《关于印发&lt;新疆维吾尔自治区城乡道路客运成品油价格补助专项资金管理办法&gt;的通知》（新财建【2018】101号）执行。</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立项程序规范性</w:t>
      </w:r>
    </w:p>
    <w:p>
      <w:pPr>
        <w:spacing w:line="360" w:lineRule="auto"/>
        <w:ind w:firstLine="600" w:firstLineChars="200"/>
        <w:jc w:val="left"/>
        <w:rPr>
          <w:rFonts w:hint="eastAsia"/>
          <w:color w:val="auto"/>
        </w:rPr>
      </w:pPr>
      <w:r>
        <w:rPr>
          <w:rFonts w:hint="eastAsia"/>
          <w:color w:val="auto"/>
        </w:rPr>
        <w:t>该项目按照规定的程序申请设立；审批文件、材料符合相关要求；事前已经过必要的可行性研究、风险评估、专家论证、绩效评估、集体决策。</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绩效目标合理性</w:t>
      </w:r>
    </w:p>
    <w:p>
      <w:pPr>
        <w:spacing w:line="360" w:lineRule="auto"/>
        <w:ind w:firstLine="600" w:firstLineChars="200"/>
        <w:jc w:val="left"/>
        <w:rPr>
          <w:rFonts w:hint="eastAsia"/>
          <w:color w:val="auto"/>
        </w:rPr>
      </w:pPr>
      <w:r>
        <w:rPr>
          <w:rFonts w:hint="eastAsia"/>
          <w:color w:val="auto"/>
        </w:rPr>
        <w:t>《关于预拨2022年农村客运补贴资金及城市交通发展奖励资金的通知专项经费》项目设立了项目绩效目标，项目的预期产出效益和效果也均能符合正常的业绩水平，并且与预算确定的项目资金量相匹配。</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绩效指标明确性</w:t>
      </w:r>
    </w:p>
    <w:p>
      <w:pPr>
        <w:spacing w:line="360" w:lineRule="auto"/>
        <w:ind w:firstLine="600" w:firstLineChars="200"/>
        <w:jc w:val="left"/>
        <w:rPr>
          <w:rFonts w:hint="eastAsia"/>
          <w:color w:val="auto"/>
        </w:rPr>
      </w:pPr>
      <w:r>
        <w:rPr>
          <w:rFonts w:hint="eastAsia"/>
          <w:color w:val="auto"/>
        </w:rPr>
        <w:t>将绩效目标细化分解为具体的绩效指标，一级指标共3条，二级指标共6条，三级指标共10条，其中量化指标条数共8条，所有绩效指标均通过清晰、可衡量的指标值予以体现，并且做到了与项目目标任务数或计划数相对应。</w:t>
      </w:r>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预算编制科学性</w:t>
      </w:r>
    </w:p>
    <w:p>
      <w:pPr>
        <w:spacing w:line="360" w:lineRule="auto"/>
        <w:ind w:firstLine="600" w:firstLineChars="200"/>
        <w:rPr>
          <w:color w:val="auto"/>
        </w:rPr>
      </w:pPr>
      <w:r>
        <w:rPr>
          <w:rFonts w:hint="eastAsia"/>
          <w:color w:val="auto"/>
        </w:rPr>
        <w:t>本项目预算编制经过科学论证；预算内容与项目内容匹配</w:t>
      </w:r>
      <w:r>
        <w:rPr>
          <w:rFonts w:hint="eastAsia"/>
          <w:color w:val="auto"/>
          <w:lang w:val="en-US" w:eastAsia="zh-CN"/>
        </w:rPr>
        <w:t>;</w:t>
      </w:r>
      <w:r>
        <w:rPr>
          <w:rFonts w:hint="eastAsia"/>
          <w:color w:val="auto"/>
        </w:rPr>
        <w:t>预算额度测算依据是否充分，是否按照标准编制；预算确定的项目投资额或资金量是否与工作任务相匹配。</w:t>
      </w:r>
    </w:p>
    <w:p>
      <w:pPr>
        <w:spacing w:line="360" w:lineRule="auto"/>
        <w:ind w:firstLine="600" w:firstLineChars="200"/>
        <w:jc w:val="left"/>
        <w:rPr>
          <w:rFonts w:hint="eastAsia"/>
          <w:color w:val="auto"/>
        </w:rPr>
      </w:pPr>
      <w:r>
        <w:rPr>
          <w:rFonts w:hint="eastAsia"/>
          <w:color w:val="auto"/>
        </w:rPr>
        <w:t>6</w:t>
      </w:r>
      <w:r>
        <w:rPr>
          <w:rFonts w:hint="eastAsia"/>
          <w:color w:val="auto"/>
          <w:lang w:val="en-US" w:eastAsia="zh-CN"/>
        </w:rPr>
        <w:t>.</w:t>
      </w:r>
      <w:r>
        <w:rPr>
          <w:rFonts w:hint="eastAsia"/>
          <w:color w:val="auto"/>
        </w:rPr>
        <w:t>资金分配合理性</w:t>
      </w:r>
    </w:p>
    <w:p>
      <w:pPr>
        <w:spacing w:line="360" w:lineRule="auto"/>
        <w:rPr>
          <w:color w:val="auto"/>
        </w:rPr>
      </w:pPr>
      <w:r>
        <w:rPr>
          <w:rFonts w:hint="eastAsia"/>
          <w:color w:val="auto"/>
        </w:rPr>
        <w:t>本项目预算资金分配依据充分；资金分配额度合理，与项目地方实际相适应。</w:t>
      </w:r>
    </w:p>
    <w:p>
      <w:pPr>
        <w:pStyle w:val="3"/>
        <w:spacing w:before="0" w:after="0" w:line="240" w:lineRule="auto"/>
        <w:ind w:firstLine="320" w:firstLineChars="100"/>
        <w:rPr>
          <w:rFonts w:hint="eastAsia" w:ascii="仿宋_GB2312" w:eastAsia="仿宋_GB2312"/>
          <w:b w:val="0"/>
          <w:bCs w:val="0"/>
          <w:color w:val="auto"/>
        </w:rPr>
      </w:pPr>
      <w:bookmarkStart w:id="12" w:name="_Toc68703839"/>
      <w:r>
        <w:rPr>
          <w:rFonts w:hint="eastAsia" w:ascii="仿宋_GB2312" w:eastAsia="仿宋_GB2312"/>
          <w:b w:val="0"/>
          <w:bCs w:val="0"/>
          <w:color w:val="auto"/>
        </w:rPr>
        <w:t>（二）项目过程情况。</w:t>
      </w:r>
      <w:bookmarkEnd w:id="12"/>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资金到位率：</w:t>
      </w:r>
    </w:p>
    <w:p>
      <w:pPr>
        <w:spacing w:line="360" w:lineRule="auto"/>
        <w:ind w:firstLine="600" w:firstLineChars="200"/>
        <w:jc w:val="left"/>
        <w:rPr>
          <w:rFonts w:hint="eastAsia"/>
          <w:color w:val="auto"/>
        </w:rPr>
      </w:pPr>
      <w:r>
        <w:rPr>
          <w:rFonts w:hint="eastAsia"/>
          <w:color w:val="auto"/>
        </w:rPr>
        <w:t>该项目年初预算数0万元，全年预算数1300.24万元，全年执行数1300.24万元，预算执行率为100%。</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预算执行率</w:t>
      </w:r>
    </w:p>
    <w:p>
      <w:pPr>
        <w:spacing w:line="360" w:lineRule="auto"/>
        <w:ind w:firstLine="600" w:firstLineChars="200"/>
        <w:jc w:val="left"/>
        <w:rPr>
          <w:rFonts w:hint="eastAsia"/>
          <w:color w:val="auto"/>
        </w:rPr>
      </w:pPr>
      <w:r>
        <w:rPr>
          <w:rFonts w:hint="eastAsia"/>
          <w:color w:val="auto"/>
        </w:rPr>
        <w:t>该项目年初预算数0万元，全年预算数1300.24万元，全年执行数1300.24万元，预算执行率为100%。</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资金使用合规性</w:t>
      </w:r>
    </w:p>
    <w:p>
      <w:pPr>
        <w:spacing w:line="360" w:lineRule="auto"/>
        <w:ind w:firstLine="600" w:firstLineChars="200"/>
        <w:rPr>
          <w:color w:val="auto"/>
        </w:rPr>
      </w:pPr>
      <w:r>
        <w:rPr>
          <w:rFonts w:hint="eastAsia"/>
          <w:color w:val="auto"/>
          <w:lang w:val="en-US"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项目执行过程不</w:t>
      </w:r>
      <w:r>
        <w:rPr>
          <w:rFonts w:hint="eastAsia"/>
          <w:color w:val="auto"/>
        </w:rPr>
        <w:t>存在截留、挤占、挪用、虚列支出等情况。</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管理制度健全性</w:t>
      </w:r>
    </w:p>
    <w:p>
      <w:pPr>
        <w:spacing w:line="360" w:lineRule="auto"/>
        <w:ind w:firstLine="600" w:firstLineChars="200"/>
        <w:rPr>
          <w:color w:val="auto"/>
        </w:rPr>
      </w:pPr>
      <w:r>
        <w:rPr>
          <w:rFonts w:hint="eastAsia"/>
          <w:color w:val="auto"/>
        </w:rPr>
        <w:t>本项目已制定或具有相应的财务和业务管理制度；财务和业务管理制度合法、合规、完整。</w:t>
      </w:r>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制度执行有效性</w:t>
      </w:r>
    </w:p>
    <w:p>
      <w:pPr>
        <w:spacing w:line="360" w:lineRule="auto"/>
        <w:rPr>
          <w:color w:val="auto"/>
        </w:rPr>
      </w:pPr>
      <w:r>
        <w:rPr>
          <w:rFonts w:hint="eastAsia"/>
          <w:color w:val="auto"/>
        </w:rPr>
        <w:t>本项目遵守相关法律法规和相关管理规定；项目调整及支出调整手续完备；项目资料齐全并及时归档；项目实施的人员条件、场地设备、信息支撑等落实到位。</w:t>
      </w:r>
    </w:p>
    <w:p>
      <w:pPr>
        <w:pStyle w:val="3"/>
        <w:spacing w:line="360" w:lineRule="auto"/>
        <w:ind w:firstLine="640" w:firstLineChars="200"/>
        <w:rPr>
          <w:rFonts w:hint="eastAsia" w:ascii="仿宋_GB2312" w:eastAsia="仿宋_GB2312"/>
          <w:b w:val="0"/>
          <w:bCs w:val="0"/>
          <w:color w:val="auto"/>
        </w:rPr>
      </w:pPr>
      <w:bookmarkStart w:id="13" w:name="_Toc68703840"/>
      <w:r>
        <w:rPr>
          <w:rFonts w:hint="eastAsia" w:ascii="仿宋_GB2312" w:eastAsia="仿宋_GB2312"/>
          <w:b w:val="0"/>
          <w:bCs w:val="0"/>
          <w:color w:val="auto"/>
        </w:rPr>
        <w:t>（三）项目产出情况。</w:t>
      </w:r>
      <w:bookmarkEnd w:id="13"/>
    </w:p>
    <w:p>
      <w:pPr>
        <w:spacing w:line="360" w:lineRule="auto"/>
        <w:ind w:firstLine="600" w:firstLineChars="200"/>
        <w:rPr>
          <w:rFonts w:hint="eastAsia"/>
          <w:color w:val="auto"/>
        </w:rPr>
      </w:pPr>
      <w:r>
        <w:rPr>
          <w:rFonts w:hint="eastAsia"/>
          <w:color w:val="auto"/>
        </w:rPr>
        <w:t>1.数量指标：指标1：农村客运车车辆数，指标值：=585辆，实际完成值586辆，指标完成率100%；</w:t>
      </w:r>
    </w:p>
    <w:p>
      <w:pPr>
        <w:spacing w:line="360" w:lineRule="auto"/>
        <w:ind w:firstLine="600" w:firstLineChars="200"/>
        <w:rPr>
          <w:rFonts w:hint="eastAsia"/>
          <w:color w:val="auto"/>
        </w:rPr>
      </w:pPr>
      <w:r>
        <w:rPr>
          <w:rFonts w:hint="eastAsia"/>
          <w:color w:val="auto"/>
        </w:rPr>
        <w:t>指标2.城市公交车车辆数，指标值：=21辆，实际完成值21辆，指标完成率100%。</w:t>
      </w:r>
    </w:p>
    <w:p>
      <w:pPr>
        <w:spacing w:line="360" w:lineRule="auto"/>
        <w:ind w:firstLine="600" w:firstLineChars="200"/>
        <w:rPr>
          <w:rFonts w:hint="eastAsia"/>
          <w:color w:val="auto"/>
        </w:rPr>
      </w:pPr>
      <w:r>
        <w:rPr>
          <w:rFonts w:hint="eastAsia"/>
          <w:color w:val="auto"/>
        </w:rPr>
        <w:t>2.质量指标：指标1：具备条件的建制村通客车率，指标值：=100%，实际完成值100%，指标完成率100%。</w:t>
      </w:r>
    </w:p>
    <w:p>
      <w:pPr>
        <w:spacing w:line="360" w:lineRule="auto"/>
        <w:ind w:firstLine="600" w:firstLineChars="200"/>
        <w:rPr>
          <w:rFonts w:hint="eastAsia"/>
          <w:color w:val="auto"/>
        </w:rPr>
      </w:pPr>
      <w:r>
        <w:rPr>
          <w:rFonts w:hint="eastAsia"/>
          <w:color w:val="auto"/>
        </w:rPr>
        <w:t>指标2.建成区公交站点500米覆盖率，指标值：≥80%，实际完成值81%，指标完成率101.25%。</w:t>
      </w:r>
    </w:p>
    <w:p>
      <w:pPr>
        <w:spacing w:line="360" w:lineRule="auto"/>
        <w:ind w:firstLine="600" w:firstLineChars="200"/>
        <w:rPr>
          <w:rFonts w:hint="eastAsia"/>
          <w:color w:val="auto"/>
        </w:rPr>
      </w:pPr>
      <w:r>
        <w:rPr>
          <w:rFonts w:hint="eastAsia"/>
          <w:color w:val="auto"/>
        </w:rPr>
        <w:t>3.时效指标：资金拨付完成时间，指标值：=100%，实际完成值100%，指标完成率100%。</w:t>
      </w:r>
    </w:p>
    <w:p>
      <w:pPr>
        <w:spacing w:line="360" w:lineRule="auto"/>
        <w:ind w:firstLine="600" w:firstLineChars="200"/>
        <w:rPr>
          <w:rFonts w:hint="eastAsia"/>
          <w:color w:val="auto"/>
        </w:rPr>
      </w:pPr>
      <w:r>
        <w:rPr>
          <w:rFonts w:hint="eastAsia"/>
          <w:color w:val="auto"/>
        </w:rPr>
        <w:t>4.成本指标：指标1：农村客运补助资金占用油费的比例，指标值：≤35%，实际完成值35%，指标完成率100%。</w:t>
      </w:r>
    </w:p>
    <w:p>
      <w:pPr>
        <w:spacing w:line="360" w:lineRule="auto"/>
        <w:ind w:firstLine="600" w:firstLineChars="200"/>
        <w:rPr>
          <w:rFonts w:hint="eastAsia"/>
          <w:color w:val="auto"/>
        </w:rPr>
      </w:pPr>
      <w:r>
        <w:rPr>
          <w:rFonts w:hint="eastAsia"/>
          <w:color w:val="auto"/>
        </w:rPr>
        <w:t>指标2.城市公交补助资金占用油费的比例，指标值：≤20%，实际完成值20%，指标完成率100%。</w:t>
      </w:r>
    </w:p>
    <w:p>
      <w:pPr>
        <w:pStyle w:val="3"/>
        <w:spacing w:before="0" w:after="0" w:line="240" w:lineRule="auto"/>
        <w:ind w:firstLine="320" w:firstLineChars="100"/>
        <w:rPr>
          <w:rFonts w:hint="eastAsia" w:ascii="仿宋_GB2312" w:eastAsia="仿宋_GB2312"/>
          <w:b w:val="0"/>
          <w:bCs w:val="0"/>
          <w:color w:val="auto"/>
        </w:rPr>
      </w:pPr>
      <w:bookmarkStart w:id="14" w:name="_Toc68703841"/>
      <w:r>
        <w:rPr>
          <w:rFonts w:hint="eastAsia" w:ascii="仿宋_GB2312" w:eastAsia="仿宋_GB2312"/>
          <w:b w:val="0"/>
          <w:bCs w:val="0"/>
          <w:color w:val="auto"/>
        </w:rPr>
        <w:t>（四）项目效益情况。</w:t>
      </w:r>
      <w:bookmarkEnd w:id="14"/>
    </w:p>
    <w:p>
      <w:pPr>
        <w:spacing w:line="360" w:lineRule="auto"/>
        <w:ind w:firstLine="600" w:firstLineChars="200"/>
        <w:rPr>
          <w:rFonts w:hint="eastAsia"/>
          <w:color w:val="auto"/>
        </w:rPr>
      </w:pPr>
      <w:r>
        <w:rPr>
          <w:rFonts w:hint="eastAsia"/>
          <w:color w:val="auto"/>
        </w:rPr>
        <w:t>1.社会效益指标：指标1：改善农村客运、城市公交公司运营状况，指标值：持续改善，实际完成值持续改善。</w:t>
      </w:r>
    </w:p>
    <w:p>
      <w:pPr>
        <w:spacing w:line="360" w:lineRule="auto"/>
        <w:ind w:firstLine="600" w:firstLineChars="200"/>
        <w:rPr>
          <w:rFonts w:hint="eastAsia"/>
          <w:color w:val="auto"/>
        </w:rPr>
      </w:pPr>
      <w:r>
        <w:rPr>
          <w:rFonts w:hint="eastAsia"/>
          <w:color w:val="auto"/>
        </w:rPr>
        <w:t>指标2：“公交都市”“城乡交通运输一体化”创建工作</w:t>
      </w:r>
      <w:r>
        <w:rPr>
          <w:rFonts w:hint="eastAsia"/>
          <w:color w:val="auto"/>
        </w:rPr>
        <w:tab/>
      </w:r>
      <w:r>
        <w:rPr>
          <w:rFonts w:hint="eastAsia"/>
          <w:color w:val="auto"/>
        </w:rPr>
        <w:t>，指标值：持续改善，实际完成值持续改善。</w:t>
      </w:r>
    </w:p>
    <w:p>
      <w:pPr>
        <w:spacing w:line="360" w:lineRule="auto"/>
        <w:ind w:firstLine="600" w:firstLineChars="200"/>
        <w:rPr>
          <w:rFonts w:hint="eastAsia"/>
          <w:color w:val="auto"/>
        </w:rPr>
      </w:pPr>
      <w:r>
        <w:rPr>
          <w:rFonts w:hint="eastAsia"/>
          <w:color w:val="auto"/>
        </w:rPr>
        <w:t>2.</w:t>
      </w:r>
      <w:r>
        <w:rPr>
          <w:rFonts w:hint="eastAsia"/>
          <w:color w:val="auto"/>
        </w:rPr>
        <w:tab/>
      </w:r>
      <w:r>
        <w:rPr>
          <w:rFonts w:hint="eastAsia"/>
          <w:color w:val="auto"/>
        </w:rPr>
        <w:t>满意度指标：农村、城市受益群众满意度，指标值：≥85%，实际完成值90%，指标完成率100%。</w:t>
      </w:r>
    </w:p>
    <w:p>
      <w:pPr>
        <w:pStyle w:val="2"/>
        <w:spacing w:before="0" w:after="0" w:line="240" w:lineRule="auto"/>
        <w:rPr>
          <w:rFonts w:ascii="宋体" w:hAnsi="宋体" w:eastAsia="宋体"/>
          <w:color w:val="auto"/>
          <w:sz w:val="32"/>
          <w:szCs w:val="32"/>
        </w:rPr>
      </w:pPr>
      <w:bookmarkStart w:id="15" w:name="_Toc68703842"/>
      <w:r>
        <w:rPr>
          <w:rFonts w:hint="eastAsia" w:ascii="宋体" w:hAnsi="宋体" w:eastAsia="宋体"/>
          <w:color w:val="auto"/>
          <w:sz w:val="32"/>
          <w:szCs w:val="32"/>
        </w:rPr>
        <w:t>五、主要经验及做法、存在的问题及原因分析</w:t>
      </w:r>
      <w:bookmarkEnd w:id="15"/>
    </w:p>
    <w:p>
      <w:pPr>
        <w:pStyle w:val="3"/>
        <w:spacing w:before="0" w:after="0" w:line="240" w:lineRule="auto"/>
        <w:ind w:firstLine="640" w:firstLineChars="200"/>
        <w:rPr>
          <w:rFonts w:hint="eastAsia" w:ascii="仿宋_GB2312" w:eastAsia="仿宋_GB2312"/>
          <w:b w:val="0"/>
          <w:bCs w:val="0"/>
          <w:color w:val="auto"/>
        </w:rPr>
      </w:pPr>
      <w:bookmarkStart w:id="16" w:name="_Toc68703843"/>
      <w:r>
        <w:rPr>
          <w:rFonts w:hint="eastAsia" w:ascii="仿宋_GB2312" w:eastAsia="仿宋_GB2312"/>
          <w:b w:val="0"/>
          <w:bCs w:val="0"/>
          <w:color w:val="auto"/>
        </w:rPr>
        <w:t>（一）主要经验及做法</w:t>
      </w:r>
      <w:bookmarkEnd w:id="16"/>
    </w:p>
    <w:p>
      <w:pPr>
        <w:ind w:firstLine="600" w:firstLineChars="200"/>
        <w:rPr>
          <w:color w:val="auto"/>
        </w:rPr>
      </w:pPr>
      <w:r>
        <w:rPr>
          <w:rFonts w:hint="eastAsia"/>
          <w:color w:val="auto"/>
        </w:rPr>
        <w:t>加强领导，落实责任，霍城县交通运输局高度重视本项目，成立资金发放领导小组，做好日常资金申报工作，同时邀请纪委监委、审计、财政等部门全程监督资金发放，明确了各部门工作职责，从项目审批、监督管理、资金管理各方面加强统筹协调，对农村客运、城市公交燃油消耗进行补助，鼓励农村客运、城市公交企业积极承担社会义务，切实减轻企业运行负担和地方财政压力，让人民群众共享交通运输改革发展成果，推动运输高质量发展。</w:t>
      </w:r>
    </w:p>
    <w:p>
      <w:pPr>
        <w:pStyle w:val="3"/>
        <w:spacing w:before="0" w:after="0" w:line="240" w:lineRule="auto"/>
        <w:ind w:firstLine="640" w:firstLineChars="200"/>
        <w:rPr>
          <w:rFonts w:hint="eastAsia" w:ascii="仿宋_GB2312" w:eastAsia="仿宋_GB2312"/>
          <w:b w:val="0"/>
          <w:bCs w:val="0"/>
          <w:color w:val="auto"/>
        </w:rPr>
      </w:pPr>
      <w:bookmarkStart w:id="17" w:name="_Toc68703844"/>
      <w:r>
        <w:rPr>
          <w:rFonts w:hint="eastAsia" w:ascii="仿宋_GB2312" w:eastAsia="仿宋_GB2312"/>
          <w:b w:val="0"/>
          <w:bCs w:val="0"/>
          <w:color w:val="auto"/>
        </w:rPr>
        <w:t>（二）存在的问题及原因分析</w:t>
      </w:r>
      <w:bookmarkEnd w:id="17"/>
    </w:p>
    <w:p>
      <w:pPr>
        <w:ind w:firstLine="600" w:firstLineChars="200"/>
        <w:rPr>
          <w:color w:val="auto"/>
        </w:rPr>
      </w:pPr>
      <w:r>
        <w:rPr>
          <w:rFonts w:hint="eastAsia"/>
          <w:color w:val="auto"/>
        </w:rPr>
        <w:t>农村客运班线点多面广，日常监管力度需进一步增强</w:t>
      </w:r>
      <w:r>
        <w:rPr>
          <w:rFonts w:hint="eastAsia"/>
          <w:color w:val="auto"/>
          <w:lang w:val="en-US" w:eastAsia="zh-CN"/>
        </w:rPr>
        <w:t>,车辆实际运行情况的证明材料较多借助于第三方监控平台数据，卫星定位系统维护日常的监管数据不定期核查中确保企业报送数据可靠性存在风险</w:t>
      </w:r>
      <w:r>
        <w:rPr>
          <w:rFonts w:hint="eastAsia"/>
          <w:color w:val="auto"/>
        </w:rPr>
        <w:t>。</w:t>
      </w:r>
    </w:p>
    <w:p>
      <w:pPr>
        <w:pStyle w:val="2"/>
        <w:numPr>
          <w:ilvl w:val="0"/>
          <w:numId w:val="1"/>
        </w:numPr>
        <w:spacing w:line="360" w:lineRule="auto"/>
        <w:rPr>
          <w:rFonts w:hint="eastAsia" w:ascii="宋体" w:hAnsi="宋体" w:eastAsia="宋体"/>
          <w:color w:val="auto"/>
          <w:sz w:val="32"/>
          <w:szCs w:val="32"/>
        </w:rPr>
      </w:pPr>
      <w:bookmarkStart w:id="18" w:name="_Toc68703845"/>
      <w:r>
        <w:rPr>
          <w:rFonts w:hint="eastAsia" w:ascii="宋体" w:hAnsi="宋体" w:eastAsia="宋体"/>
          <w:color w:val="auto"/>
          <w:sz w:val="32"/>
          <w:szCs w:val="32"/>
        </w:rPr>
        <w:t>有关建议</w:t>
      </w:r>
      <w:bookmarkEnd w:id="18"/>
    </w:p>
    <w:p>
      <w:pPr>
        <w:numPr>
          <w:ilvl w:val="0"/>
          <w:numId w:val="0"/>
        </w:numPr>
        <w:ind w:firstLine="600" w:firstLineChars="200"/>
        <w:rPr>
          <w:color w:val="auto"/>
        </w:rPr>
      </w:pPr>
      <w:r>
        <w:rPr>
          <w:rFonts w:hint="eastAsia"/>
          <w:color w:val="auto"/>
        </w:rPr>
        <w:t>对预算安排与执行的建议加强资金绩效管理培训，夯实绩效管理基础工作</w:t>
      </w:r>
      <w:r>
        <w:rPr>
          <w:rFonts w:hint="eastAsia"/>
          <w:color w:val="auto"/>
          <w:lang w:eastAsia="zh-CN"/>
        </w:rPr>
        <w:t>，</w:t>
      </w:r>
      <w:r>
        <w:rPr>
          <w:rFonts w:hint="eastAsia"/>
          <w:color w:val="auto"/>
        </w:rPr>
        <w:t>对项目预算资金绩效管理进一步细化，建立统一的管理制度和控制执行标准，确保项目资金使用安全、规范，项目实施成果绩效质量达标。</w:t>
      </w:r>
    </w:p>
    <w:p>
      <w:pPr>
        <w:pStyle w:val="2"/>
        <w:spacing w:line="360" w:lineRule="auto"/>
        <w:rPr>
          <w:rFonts w:ascii="宋体" w:hAnsi="宋体" w:eastAsia="宋体"/>
          <w:color w:val="auto"/>
          <w:sz w:val="32"/>
          <w:szCs w:val="32"/>
        </w:rPr>
      </w:pPr>
      <w:bookmarkStart w:id="19" w:name="_Toc68703846"/>
      <w:r>
        <w:rPr>
          <w:rFonts w:hint="eastAsia" w:ascii="宋体" w:hAnsi="宋体" w:eastAsia="宋体"/>
          <w:color w:val="auto"/>
          <w:sz w:val="32"/>
          <w:szCs w:val="32"/>
        </w:rPr>
        <w:t>七、其他需要说明的问题</w:t>
      </w:r>
      <w:bookmarkEnd w:id="19"/>
    </w:p>
    <w:p>
      <w:pPr>
        <w:ind w:firstLine="600" w:firstLineChars="200"/>
        <w:rPr>
          <w:color w:val="auto"/>
        </w:rPr>
      </w:pPr>
      <w:r>
        <w:rPr>
          <w:rFonts w:hint="eastAsia"/>
          <w:color w:val="auto"/>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2410A2"/>
    <w:multiLevelType w:val="singleLevel"/>
    <w:tmpl w:val="762410A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MGQ0ZTNiODcyMDEyOGM4ZDJlN2U3YWViNmQzNzUifQ=="/>
  </w:docVars>
  <w:rsids>
    <w:rsidRoot w:val="007D49C5"/>
    <w:rsid w:val="000D63FA"/>
    <w:rsid w:val="005B64E8"/>
    <w:rsid w:val="00614288"/>
    <w:rsid w:val="00792CFE"/>
    <w:rsid w:val="007D49C5"/>
    <w:rsid w:val="008175E0"/>
    <w:rsid w:val="008C631D"/>
    <w:rsid w:val="00A114ED"/>
    <w:rsid w:val="00B24331"/>
    <w:rsid w:val="03362CDB"/>
    <w:rsid w:val="0F2A6BF7"/>
    <w:rsid w:val="18A57C30"/>
    <w:rsid w:val="2BEE6C9F"/>
    <w:rsid w:val="2D3F01C6"/>
    <w:rsid w:val="30BD06B7"/>
    <w:rsid w:val="36B72533"/>
    <w:rsid w:val="3C1D543F"/>
    <w:rsid w:val="4057649F"/>
    <w:rsid w:val="56796849"/>
    <w:rsid w:val="5DA95371"/>
    <w:rsid w:val="607673D1"/>
    <w:rsid w:val="62D572C1"/>
    <w:rsid w:val="752A2575"/>
    <w:rsid w:val="7CE728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7">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customStyle="1" w:styleId="11">
    <w:name w:val="标题 1 Char"/>
    <w:basedOn w:val="9"/>
    <w:link w:val="2"/>
    <w:qFormat/>
    <w:uiPriority w:val="9"/>
    <w:rPr>
      <w:rFonts w:ascii="Times New Roman" w:hAnsi="Times New Roman" w:eastAsia="仿宋_GB2312" w:cs="Times New Roman"/>
      <w:b/>
      <w:bCs/>
      <w:kern w:val="44"/>
      <w:sz w:val="44"/>
      <w:szCs w:val="44"/>
    </w:rPr>
  </w:style>
  <w:style w:type="character" w:customStyle="1" w:styleId="12">
    <w:name w:val="标题 2 Char"/>
    <w:basedOn w:val="9"/>
    <w:link w:val="3"/>
    <w:qFormat/>
    <w:uiPriority w:val="9"/>
    <w:rPr>
      <w:rFonts w:asciiTheme="majorHAnsi" w:hAnsiTheme="majorHAnsi" w:eastAsiaTheme="majorEastAsia" w:cstheme="majorBidi"/>
      <w:b/>
      <w:bCs/>
      <w:sz w:val="32"/>
      <w:szCs w:val="32"/>
    </w:rPr>
  </w:style>
  <w:style w:type="paragraph" w:customStyle="1" w:styleId="1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
    <w:name w:val="页眉 Char"/>
    <w:basedOn w:val="9"/>
    <w:link w:val="5"/>
    <w:semiHidden/>
    <w:qFormat/>
    <w:uiPriority w:val="99"/>
    <w:rPr>
      <w:rFonts w:ascii="Times New Roman" w:hAnsi="Times New Roman" w:eastAsia="仿宋_GB2312" w:cs="Times New Roman"/>
      <w:sz w:val="18"/>
      <w:szCs w:val="18"/>
    </w:rPr>
  </w:style>
  <w:style w:type="character" w:customStyle="1" w:styleId="15">
    <w:name w:val="页脚 Char"/>
    <w:basedOn w:val="9"/>
    <w:link w:val="4"/>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11</TotalTime>
  <ScaleCrop>false</ScaleCrop>
  <LinksUpToDate>false</LinksUpToDate>
  <CharactersWithSpaces>5253</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2024-06-13T03:22:00Z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6BE5A565796A42F59B6CD5A2882A0276</vt:lpwstr>
  </property>
</Properties>
</file>