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宋体" w:hAnsi="宋体" w:eastAsia="宋体" w:cs="Arial"/>
          <w:b/>
          <w:bCs/>
          <w:sz w:val="48"/>
          <w:szCs w:val="48"/>
        </w:rPr>
      </w:pPr>
      <w:bookmarkStart w:id="21" w:name="_GoBack"/>
      <w:bookmarkEnd w:id="21"/>
    </w:p>
    <w:p>
      <w:pPr>
        <w:jc w:val="center"/>
        <w:rPr>
          <w:rFonts w:ascii="宋体" w:hAnsi="宋体" w:eastAsia="宋体" w:cs="Arial"/>
          <w:b/>
          <w:bCs/>
          <w:sz w:val="48"/>
          <w:szCs w:val="48"/>
        </w:rPr>
      </w:pPr>
    </w:p>
    <w:p>
      <w:pPr>
        <w:jc w:val="center"/>
        <w:rPr>
          <w:rFonts w:ascii="宋体" w:hAnsi="宋体" w:eastAsia="宋体" w:cs="Arial"/>
          <w:b/>
          <w:bCs/>
          <w:sz w:val="48"/>
          <w:szCs w:val="48"/>
        </w:rPr>
      </w:pPr>
    </w:p>
    <w:p>
      <w:pPr>
        <w:jc w:val="center"/>
        <w:rPr>
          <w:rFonts w:ascii="宋体" w:hAnsi="宋体" w:eastAsia="宋体" w:cs="Arial"/>
          <w:b/>
          <w:bCs/>
          <w:sz w:val="52"/>
          <w:szCs w:val="52"/>
        </w:rPr>
      </w:pPr>
      <w:r>
        <w:rPr>
          <w:rFonts w:hint="eastAsia" w:ascii="宋体" w:hAnsi="宋体" w:eastAsia="宋体" w:cs="Arial"/>
          <w:b/>
          <w:bCs/>
          <w:sz w:val="52"/>
          <w:szCs w:val="52"/>
        </w:rPr>
        <w:t>项目支出绩效评价报告</w:t>
      </w:r>
    </w:p>
    <w:p>
      <w:pPr>
        <w:jc w:val="center"/>
        <w:rPr>
          <w:rFonts w:ascii="宋体" w:hAnsi="宋体" w:eastAsia="宋体" w:cs="Arial"/>
          <w:b/>
          <w:bCs/>
          <w:sz w:val="48"/>
          <w:szCs w:val="48"/>
        </w:rPr>
      </w:pPr>
    </w:p>
    <w:p>
      <w:pPr>
        <w:widowControl/>
        <w:spacing w:line="560" w:lineRule="exact"/>
        <w:jc w:val="center"/>
        <w:rPr>
          <w:rFonts w:ascii="仿宋_GB2312" w:hAnsi="仿宋_GB2312" w:cs="仿宋_GB2312"/>
          <w:b/>
          <w:kern w:val="0"/>
          <w:sz w:val="50"/>
          <w:szCs w:val="50"/>
          <w:lang w:bidi="en-US"/>
        </w:rPr>
      </w:pPr>
      <w:r>
        <w:rPr>
          <w:rFonts w:hint="eastAsia" w:ascii="红豆小标宋简体" w:hAnsi="红豆小标宋简体" w:eastAsia="红豆小标宋简体" w:cs="红豆小标宋简体"/>
          <w:color w:val="000000"/>
          <w:kern w:val="0"/>
          <w:sz w:val="36"/>
          <w:szCs w:val="36"/>
        </w:rPr>
        <w:t>（2</w:t>
      </w:r>
      <w:r>
        <w:rPr>
          <w:rFonts w:ascii="红豆小标宋简体" w:hAnsi="红豆小标宋简体" w:eastAsia="红豆小标宋简体" w:cs="红豆小标宋简体"/>
          <w:color w:val="000000"/>
          <w:kern w:val="0"/>
          <w:sz w:val="36"/>
          <w:szCs w:val="36"/>
        </w:rPr>
        <w:t>02</w:t>
      </w:r>
      <w:r>
        <w:rPr>
          <w:rFonts w:hint="eastAsia" w:ascii="红豆小标宋简体" w:hAnsi="红豆小标宋简体" w:eastAsia="红豆小标宋简体" w:cs="红豆小标宋简体"/>
          <w:color w:val="000000"/>
          <w:kern w:val="0"/>
          <w:sz w:val="36"/>
          <w:szCs w:val="36"/>
          <w:lang w:val="en-US" w:eastAsia="zh-CN"/>
        </w:rPr>
        <w:t>2</w:t>
      </w:r>
      <w:r>
        <w:rPr>
          <w:rFonts w:hint="eastAsia" w:ascii="红豆小标宋简体" w:hAnsi="红豆小标宋简体" w:eastAsia="红豆小标宋简体" w:cs="红豆小标宋简体"/>
          <w:color w:val="000000"/>
          <w:kern w:val="0"/>
          <w:sz w:val="36"/>
          <w:szCs w:val="36"/>
        </w:rPr>
        <w:t>年度）</w:t>
      </w:r>
    </w:p>
    <w:p>
      <w:pPr>
        <w:spacing w:line="480" w:lineRule="auto"/>
        <w:jc w:val="center"/>
        <w:rPr>
          <w:rFonts w:ascii="仿宋_GB2312" w:hAnsi="仿宋_GB2312" w:cs="仿宋_GB2312"/>
          <w:b/>
          <w:kern w:val="0"/>
          <w:sz w:val="50"/>
          <w:szCs w:val="50"/>
          <w:lang w:bidi="en-US"/>
        </w:rPr>
      </w:pPr>
    </w:p>
    <w:p>
      <w:pPr>
        <w:spacing w:line="480" w:lineRule="auto"/>
        <w:jc w:val="center"/>
        <w:rPr>
          <w:rFonts w:ascii="仿宋_GB2312" w:hAnsi="仿宋_GB2312" w:cs="仿宋_GB2312"/>
          <w:b/>
          <w:kern w:val="0"/>
          <w:sz w:val="50"/>
          <w:szCs w:val="50"/>
          <w:lang w:bidi="en-US"/>
        </w:rPr>
      </w:pPr>
    </w:p>
    <w:p>
      <w:pPr>
        <w:spacing w:line="480" w:lineRule="auto"/>
        <w:jc w:val="center"/>
        <w:rPr>
          <w:rFonts w:ascii="仿宋_GB2312" w:hAnsi="仿宋_GB2312" w:cs="仿宋_GB2312"/>
          <w:b/>
          <w:kern w:val="0"/>
          <w:sz w:val="50"/>
          <w:szCs w:val="50"/>
          <w:lang w:bidi="en-US"/>
        </w:rPr>
      </w:pPr>
    </w:p>
    <w:p>
      <w:pPr>
        <w:spacing w:line="480" w:lineRule="auto"/>
        <w:jc w:val="center"/>
        <w:rPr>
          <w:rFonts w:ascii="仿宋_GB2312" w:hAnsi="仿宋_GB2312" w:cs="仿宋_GB2312"/>
          <w:b/>
          <w:kern w:val="0"/>
          <w:sz w:val="50"/>
          <w:szCs w:val="50"/>
          <w:lang w:bidi="en-US"/>
        </w:rPr>
      </w:pPr>
    </w:p>
    <w:p>
      <w:pPr>
        <w:spacing w:line="480" w:lineRule="auto"/>
        <w:jc w:val="center"/>
        <w:rPr>
          <w:rFonts w:ascii="仿宋_GB2312" w:hAnsi="仿宋_GB2312" w:cs="仿宋_GB2312"/>
          <w:b/>
          <w:kern w:val="0"/>
          <w:sz w:val="50"/>
          <w:szCs w:val="50"/>
          <w:lang w:bidi="en-US"/>
        </w:rPr>
      </w:pPr>
    </w:p>
    <w:p>
      <w:pPr>
        <w:spacing w:line="560" w:lineRule="exact"/>
        <w:ind w:firstLine="321" w:firstLineChars="100"/>
        <w:rPr>
          <w:rFonts w:ascii="宋体" w:hAnsi="宋体" w:eastAsia="宋体" w:cs="宋体"/>
          <w:kern w:val="0"/>
          <w:sz w:val="32"/>
          <w:szCs w:val="32"/>
        </w:rPr>
      </w:pPr>
      <w:r>
        <w:rPr>
          <w:rFonts w:hint="eastAsia" w:ascii="宋体" w:hAnsi="宋体" w:eastAsia="宋体" w:cs="仿宋_GB2312"/>
          <w:b/>
          <w:bCs/>
          <w:color w:val="000000"/>
          <w:kern w:val="0"/>
          <w:sz w:val="32"/>
          <w:szCs w:val="32"/>
        </w:rPr>
        <w:t>项目名称：农村综合改革转移支付</w:t>
      </w:r>
    </w:p>
    <w:p>
      <w:pPr>
        <w:spacing w:line="560" w:lineRule="exact"/>
        <w:ind w:firstLine="321" w:firstLineChars="100"/>
        <w:rPr>
          <w:rFonts w:ascii="宋体" w:hAnsi="宋体" w:eastAsia="宋体" w:cs="宋体"/>
          <w:kern w:val="0"/>
          <w:sz w:val="32"/>
          <w:szCs w:val="32"/>
        </w:rPr>
      </w:pPr>
      <w:r>
        <w:rPr>
          <w:rFonts w:hint="eastAsia" w:ascii="宋体" w:hAnsi="宋体" w:eastAsia="宋体" w:cs="仿宋_GB2312"/>
          <w:b/>
          <w:bCs/>
          <w:color w:val="000000"/>
          <w:kern w:val="0"/>
          <w:sz w:val="32"/>
          <w:szCs w:val="32"/>
        </w:rPr>
        <w:t>实施单位（公章）：</w:t>
      </w:r>
      <w:r>
        <w:rPr>
          <w:rFonts w:hint="eastAsia" w:ascii="宋体" w:hAnsi="宋体" w:eastAsia="宋体" w:cs="仿宋_GB2312"/>
          <w:b/>
          <w:bCs/>
          <w:color w:val="000000"/>
          <w:kern w:val="0"/>
          <w:sz w:val="32"/>
          <w:szCs w:val="32"/>
          <w:lang w:val="en-US" w:eastAsia="zh-CN"/>
        </w:rPr>
        <w:t>霍城县三宫回族乡人民政府</w:t>
      </w:r>
    </w:p>
    <w:p>
      <w:pPr>
        <w:spacing w:line="560" w:lineRule="exact"/>
        <w:ind w:firstLine="321" w:firstLineChars="100"/>
        <w:rPr>
          <w:rFonts w:ascii="宋体" w:hAnsi="宋体" w:eastAsia="宋体" w:cs="宋体"/>
          <w:kern w:val="0"/>
          <w:sz w:val="32"/>
          <w:szCs w:val="32"/>
        </w:rPr>
      </w:pPr>
      <w:r>
        <w:rPr>
          <w:rFonts w:hint="eastAsia" w:ascii="宋体" w:hAnsi="宋体" w:eastAsia="宋体" w:cs="仿宋_GB2312"/>
          <w:b/>
          <w:bCs/>
          <w:color w:val="000000"/>
          <w:kern w:val="0"/>
          <w:sz w:val="32"/>
          <w:szCs w:val="32"/>
        </w:rPr>
        <w:t>主管部门（公章）：</w:t>
      </w:r>
      <w:r>
        <w:rPr>
          <w:rFonts w:hint="eastAsia" w:ascii="宋体" w:hAnsi="宋体" w:eastAsia="宋体" w:cs="仿宋_GB2312"/>
          <w:b/>
          <w:bCs/>
          <w:color w:val="000000"/>
          <w:kern w:val="0"/>
          <w:sz w:val="32"/>
          <w:szCs w:val="32"/>
          <w:lang w:val="en-US" w:eastAsia="zh-CN"/>
        </w:rPr>
        <w:t>霍城县三宫回族乡人民政府</w:t>
      </w:r>
    </w:p>
    <w:p>
      <w:pPr>
        <w:spacing w:line="560" w:lineRule="exact"/>
        <w:ind w:firstLine="321" w:firstLineChars="100"/>
        <w:rPr>
          <w:rFonts w:hint="eastAsia" w:ascii="宋体" w:hAnsi="宋体" w:eastAsia="宋体" w:cs="宋体"/>
          <w:kern w:val="0"/>
          <w:sz w:val="32"/>
          <w:szCs w:val="32"/>
          <w:lang w:val="en-US" w:eastAsia="zh-CN"/>
        </w:rPr>
      </w:pPr>
      <w:r>
        <w:rPr>
          <w:rFonts w:hint="eastAsia" w:ascii="宋体" w:hAnsi="宋体" w:eastAsia="宋体" w:cs="仿宋_GB2312"/>
          <w:b/>
          <w:bCs/>
          <w:color w:val="000000"/>
          <w:kern w:val="0"/>
          <w:sz w:val="32"/>
          <w:szCs w:val="32"/>
        </w:rPr>
        <w:t>项目负责人（签章）：</w:t>
      </w:r>
      <w:r>
        <w:rPr>
          <w:rFonts w:hint="eastAsia" w:ascii="宋体" w:hAnsi="宋体" w:eastAsia="宋体" w:cs="仿宋_GB2312"/>
          <w:b/>
          <w:bCs/>
          <w:color w:val="000000"/>
          <w:kern w:val="0"/>
          <w:sz w:val="32"/>
          <w:szCs w:val="32"/>
          <w:lang w:eastAsia="zh-CN"/>
        </w:rPr>
        <w:t>王德成</w:t>
      </w:r>
    </w:p>
    <w:p>
      <w:pPr>
        <w:spacing w:line="560" w:lineRule="exact"/>
        <w:ind w:firstLine="321" w:firstLineChars="100"/>
        <w:rPr>
          <w:rFonts w:ascii="宋体" w:hAnsi="宋体" w:eastAsia="宋体" w:cs="仿宋_GB2312"/>
          <w:color w:val="000000"/>
          <w:kern w:val="0"/>
          <w:sz w:val="32"/>
          <w:szCs w:val="32"/>
        </w:rPr>
      </w:pPr>
      <w:r>
        <w:rPr>
          <w:rFonts w:hint="eastAsia" w:ascii="宋体" w:hAnsi="宋体" w:eastAsia="宋体" w:cs="仿宋_GB2312"/>
          <w:b/>
          <w:bCs/>
          <w:color w:val="000000"/>
          <w:kern w:val="0"/>
          <w:sz w:val="32"/>
          <w:szCs w:val="32"/>
        </w:rPr>
        <w:t>填报时间：</w:t>
      </w:r>
      <w:r>
        <w:rPr>
          <w:rFonts w:hint="eastAsia" w:ascii="宋体" w:hAnsi="宋体" w:eastAsia="宋体" w:cs="仿宋_GB2312"/>
          <w:color w:val="000000"/>
          <w:kern w:val="0"/>
          <w:sz w:val="32"/>
          <w:szCs w:val="32"/>
        </w:rPr>
        <w:t>202</w:t>
      </w:r>
      <w:r>
        <w:rPr>
          <w:rFonts w:hint="eastAsia" w:ascii="宋体" w:hAnsi="宋体" w:eastAsia="宋体" w:cs="仿宋_GB2312"/>
          <w:color w:val="000000"/>
          <w:kern w:val="0"/>
          <w:sz w:val="32"/>
          <w:szCs w:val="32"/>
          <w:lang w:val="en-US" w:eastAsia="zh-CN"/>
        </w:rPr>
        <w:t>3</w:t>
      </w:r>
      <w:r>
        <w:rPr>
          <w:rFonts w:hint="eastAsia" w:ascii="宋体" w:hAnsi="宋体" w:eastAsia="宋体" w:cs="仿宋_GB2312"/>
          <w:color w:val="000000"/>
          <w:kern w:val="0"/>
          <w:sz w:val="32"/>
          <w:szCs w:val="32"/>
        </w:rPr>
        <w:t xml:space="preserve">年 </w:t>
      </w:r>
      <w:r>
        <w:rPr>
          <w:rFonts w:hint="eastAsia" w:ascii="宋体" w:hAnsi="宋体" w:eastAsia="宋体" w:cs="仿宋_GB2312"/>
          <w:color w:val="000000"/>
          <w:kern w:val="0"/>
          <w:sz w:val="32"/>
          <w:szCs w:val="32"/>
          <w:lang w:val="en-US" w:eastAsia="zh-CN"/>
        </w:rPr>
        <w:t>3</w:t>
      </w:r>
      <w:r>
        <w:rPr>
          <w:rFonts w:hint="eastAsia" w:ascii="宋体" w:hAnsi="宋体" w:eastAsia="宋体" w:cs="仿宋_GB2312"/>
          <w:color w:val="000000"/>
          <w:kern w:val="0"/>
          <w:sz w:val="32"/>
          <w:szCs w:val="32"/>
        </w:rPr>
        <w:t>月</w:t>
      </w:r>
      <w:r>
        <w:rPr>
          <w:rFonts w:hint="eastAsia" w:ascii="宋体" w:hAnsi="宋体" w:eastAsia="宋体" w:cs="仿宋_GB2312"/>
          <w:color w:val="000000"/>
          <w:kern w:val="0"/>
          <w:sz w:val="32"/>
          <w:szCs w:val="32"/>
          <w:lang w:val="en-US" w:eastAsia="zh-CN"/>
        </w:rPr>
        <w:t>30</w:t>
      </w:r>
      <w:r>
        <w:rPr>
          <w:rFonts w:hint="eastAsia" w:ascii="宋体" w:hAnsi="宋体" w:eastAsia="宋体" w:cs="仿宋_GB2312"/>
          <w:color w:val="000000"/>
          <w:kern w:val="0"/>
          <w:sz w:val="32"/>
          <w:szCs w:val="32"/>
        </w:rPr>
        <w:t>日</w:t>
      </w:r>
    </w:p>
    <w:p>
      <w:pPr>
        <w:widowControl/>
        <w:jc w:val="left"/>
        <w:rPr>
          <w:rFonts w:ascii="宋体" w:hAnsi="宋体" w:eastAsia="宋体" w:cs="Arial"/>
          <w:b/>
          <w:bCs/>
          <w:sz w:val="36"/>
          <w:szCs w:val="36"/>
        </w:rPr>
      </w:pPr>
      <w:r>
        <w:rPr>
          <w:rFonts w:ascii="宋体" w:hAnsi="宋体" w:eastAsia="宋体" w:cs="Arial"/>
          <w:b/>
          <w:bCs/>
          <w:sz w:val="36"/>
          <w:szCs w:val="36"/>
        </w:rPr>
        <w:br w:type="page"/>
      </w:r>
    </w:p>
    <w:p>
      <w:pPr>
        <w:jc w:val="center"/>
        <w:rPr>
          <w:rFonts w:ascii="Arial" w:hAnsi="Arial" w:eastAsia="宋体" w:cs="Arial"/>
          <w:b/>
          <w:bCs/>
          <w:sz w:val="36"/>
          <w:szCs w:val="36"/>
        </w:rPr>
      </w:pPr>
      <w:r>
        <w:rPr>
          <w:rFonts w:hint="eastAsia" w:ascii="宋体" w:hAnsi="宋体" w:eastAsia="宋体" w:cs="Arial"/>
          <w:b/>
          <w:bCs/>
          <w:sz w:val="36"/>
          <w:szCs w:val="36"/>
        </w:rPr>
        <w:t>项目支出</w:t>
      </w:r>
      <w:r>
        <w:rPr>
          <w:rFonts w:ascii="宋体" w:hAnsi="宋体" w:eastAsia="宋体" w:cs="Arial"/>
          <w:b/>
          <w:bCs/>
          <w:sz w:val="36"/>
          <w:szCs w:val="36"/>
        </w:rPr>
        <w:t>绩效</w:t>
      </w:r>
      <w:r>
        <w:rPr>
          <w:rFonts w:hint="eastAsia" w:ascii="宋体" w:hAnsi="宋体" w:eastAsia="宋体" w:cs="Arial"/>
          <w:b/>
          <w:bCs/>
          <w:sz w:val="36"/>
          <w:szCs w:val="36"/>
        </w:rPr>
        <w:t>评价报告</w:t>
      </w:r>
    </w:p>
    <w:p>
      <w:pPr>
        <w:pStyle w:val="4"/>
        <w:spacing w:line="360" w:lineRule="auto"/>
        <w:rPr>
          <w:rFonts w:ascii="宋体" w:hAnsi="宋体" w:eastAsia="宋体"/>
          <w:sz w:val="32"/>
          <w:szCs w:val="32"/>
        </w:rPr>
      </w:pPr>
      <w:bookmarkStart w:id="0" w:name="_Toc68703827"/>
      <w:r>
        <w:rPr>
          <w:rFonts w:hint="eastAsia" w:ascii="宋体" w:hAnsi="宋体" w:eastAsia="宋体"/>
          <w:sz w:val="32"/>
          <w:szCs w:val="32"/>
        </w:rPr>
        <w:t>一、基本情况</w:t>
      </w:r>
      <w:bookmarkEnd w:id="0"/>
    </w:p>
    <w:p>
      <w:pPr>
        <w:pStyle w:val="5"/>
        <w:spacing w:line="360" w:lineRule="auto"/>
        <w:rPr>
          <w:rFonts w:hint="eastAsia" w:ascii="仿宋_GB2312" w:eastAsia="仿宋_GB2312"/>
          <w:b w:val="0"/>
          <w:bCs w:val="0"/>
        </w:rPr>
      </w:pPr>
      <w:bookmarkStart w:id="1" w:name="_Toc68703828"/>
      <w:r>
        <w:rPr>
          <w:rFonts w:hint="eastAsia" w:ascii="仿宋_GB2312" w:eastAsia="仿宋_GB2312"/>
          <w:b w:val="0"/>
          <w:bCs w:val="0"/>
        </w:rPr>
        <w:t>（一）项目概况。</w:t>
      </w:r>
      <w:bookmarkEnd w:id="1"/>
    </w:p>
    <w:p>
      <w:pPr>
        <w:spacing w:line="360" w:lineRule="auto"/>
        <w:ind w:firstLine="600" w:firstLineChars="200"/>
        <w:rPr>
          <w:rFonts w:hint="eastAsia" w:ascii="仿宋_GB2312"/>
        </w:rPr>
      </w:pPr>
      <w:r>
        <w:rPr>
          <w:rFonts w:hint="eastAsia" w:ascii="仿宋_GB2312"/>
        </w:rPr>
        <w:t>1</w:t>
      </w:r>
      <w:r>
        <w:rPr>
          <w:rFonts w:hint="eastAsia" w:ascii="仿宋_GB2312"/>
          <w:lang w:val="en-US" w:eastAsia="zh-CN"/>
        </w:rPr>
        <w:t>.</w:t>
      </w:r>
      <w:r>
        <w:rPr>
          <w:rFonts w:hint="eastAsia" w:ascii="仿宋_GB2312"/>
        </w:rPr>
        <w:t>项目背景</w:t>
      </w:r>
    </w:p>
    <w:p>
      <w:pPr>
        <w:spacing w:line="360" w:lineRule="auto"/>
        <w:ind w:firstLine="600" w:firstLineChars="200"/>
        <w:rPr>
          <w:rFonts w:hint="eastAsia" w:ascii="仿宋_GB2312"/>
        </w:rPr>
      </w:pPr>
      <w:r>
        <w:rPr>
          <w:rFonts w:hint="eastAsia" w:ascii="仿宋_GB2312"/>
        </w:rPr>
        <w:t>霍城县三宫回族乡人民政府，新建农田灌溉防渗渠</w:t>
      </w:r>
      <w:r>
        <w:rPr>
          <w:rFonts w:hint="eastAsia" w:ascii="仿宋_GB2312"/>
          <w:lang w:eastAsia="zh-CN"/>
        </w:rPr>
        <w:t>、沙湾村和上三宫人行道</w:t>
      </w:r>
      <w:r>
        <w:rPr>
          <w:rFonts w:hint="eastAsia" w:ascii="仿宋_GB2312"/>
        </w:rPr>
        <w:t>，可切实对</w:t>
      </w:r>
      <w:r>
        <w:rPr>
          <w:rFonts w:hint="eastAsia" w:ascii="仿宋_GB2312"/>
          <w:lang w:eastAsia="zh-CN"/>
        </w:rPr>
        <w:t>三宫乡</w:t>
      </w:r>
      <w:r>
        <w:rPr>
          <w:rFonts w:hint="eastAsia" w:ascii="仿宋_GB2312"/>
        </w:rPr>
        <w:t>各族村民发展经济带来很好的基础和保障。最终实现从村容村貌的改变，实现整村的大变化。</w:t>
      </w:r>
    </w:p>
    <w:p>
      <w:pPr>
        <w:spacing w:line="360" w:lineRule="auto"/>
        <w:ind w:firstLine="600" w:firstLineChars="200"/>
        <w:rPr>
          <w:rFonts w:ascii="仿宋_GB2312"/>
        </w:rPr>
      </w:pPr>
      <w:r>
        <w:rPr>
          <w:rFonts w:hint="eastAsia" w:ascii="仿宋_GB2312"/>
        </w:rPr>
        <w:t>2</w:t>
      </w:r>
      <w:r>
        <w:rPr>
          <w:rFonts w:hint="eastAsia" w:ascii="仿宋_GB2312"/>
          <w:lang w:val="en-US" w:eastAsia="zh-CN"/>
        </w:rPr>
        <w:t>.</w:t>
      </w:r>
      <w:r>
        <w:rPr>
          <w:rFonts w:hint="eastAsia" w:ascii="仿宋_GB2312"/>
        </w:rPr>
        <w:t>主要内容</w:t>
      </w:r>
      <w:r>
        <w:rPr>
          <w:rFonts w:hint="eastAsia"/>
        </w:rPr>
        <w:t>及</w:t>
      </w:r>
      <w:r>
        <w:rPr>
          <w:rFonts w:hint="eastAsia" w:ascii="仿宋_GB2312"/>
        </w:rPr>
        <w:t>实施情况</w:t>
      </w:r>
    </w:p>
    <w:p>
      <w:pPr>
        <w:spacing w:line="360" w:lineRule="auto"/>
        <w:ind w:firstLine="600" w:firstLineChars="200"/>
        <w:rPr>
          <w:rFonts w:hint="eastAsia" w:ascii="仿宋_GB2312" w:eastAsia="仿宋_GB2312"/>
          <w:color w:val="FF0000"/>
          <w:lang w:eastAsia="zh-CN"/>
        </w:rPr>
      </w:pPr>
      <w:r>
        <w:rPr>
          <w:rFonts w:hint="eastAsia" w:ascii="仿宋_GB2312"/>
        </w:rPr>
        <w:t>主要内容：霍城县三宫回族乡人民政府，新建下三宫防渗渠长</w:t>
      </w:r>
      <w:r>
        <w:rPr>
          <w:rFonts w:hint="eastAsia" w:ascii="仿宋_GB2312"/>
          <w:lang w:val="en-US" w:eastAsia="zh-CN"/>
        </w:rPr>
        <w:t>427</w:t>
      </w:r>
      <w:r>
        <w:rPr>
          <w:rFonts w:hint="eastAsia" w:ascii="仿宋_GB2312"/>
        </w:rPr>
        <w:t>米，深0.6米，宽0.82米。</w:t>
      </w:r>
      <w:r>
        <w:rPr>
          <w:rFonts w:hint="eastAsia" w:ascii="仿宋_GB2312"/>
          <w:lang w:eastAsia="zh-CN"/>
        </w:rPr>
        <w:t>新建沙湾村和上三宫人行道修建长度为8486米。</w:t>
      </w:r>
    </w:p>
    <w:p>
      <w:pPr>
        <w:spacing w:line="360" w:lineRule="auto"/>
        <w:ind w:firstLine="600" w:firstLineChars="200"/>
        <w:rPr>
          <w:rFonts w:hint="eastAsia" w:ascii="仿宋_GB2312"/>
        </w:rPr>
      </w:pPr>
      <w:r>
        <w:rPr>
          <w:rFonts w:hint="eastAsia" w:ascii="仿宋_GB2312"/>
        </w:rPr>
        <w:t>实施情况：新建下三宫防渗渠长351.2米，深0.6米，宽0.82米。</w:t>
      </w:r>
      <w:r>
        <w:rPr>
          <w:rFonts w:hint="eastAsia" w:ascii="仿宋_GB2312"/>
          <w:lang w:eastAsia="zh-CN"/>
        </w:rPr>
        <w:t>新建沙湾村和上三宫人行道修建长度为</w:t>
      </w:r>
      <w:r>
        <w:rPr>
          <w:rFonts w:hint="eastAsia" w:ascii="仿宋_GB2312"/>
          <w:color w:val="auto"/>
          <w:lang w:val="en-US" w:eastAsia="zh-CN"/>
        </w:rPr>
        <w:t>7000平方</w:t>
      </w:r>
      <w:r>
        <w:rPr>
          <w:rFonts w:hint="eastAsia" w:ascii="仿宋_GB2312"/>
          <w:color w:val="auto"/>
          <w:lang w:eastAsia="zh-CN"/>
        </w:rPr>
        <w:t>米</w:t>
      </w:r>
      <w:r>
        <w:rPr>
          <w:rFonts w:hint="eastAsia" w:ascii="仿宋_GB2312"/>
          <w:lang w:eastAsia="zh-CN"/>
        </w:rPr>
        <w:t>。</w:t>
      </w:r>
      <w:r>
        <w:rPr>
          <w:rFonts w:hint="eastAsia" w:ascii="仿宋_GB2312"/>
        </w:rPr>
        <w:t>项目实施后，将极大解决该村各族群众生产发展难题，为推进该村产业结构调整打好了基础，加快了农牧民增收步伐。使各少数民族群众感受到党和政府的温暖，有利于加强民族团结，产生极大的政治、社会效益。</w:t>
      </w:r>
    </w:p>
    <w:p>
      <w:pPr>
        <w:spacing w:line="360" w:lineRule="auto"/>
        <w:ind w:firstLine="600" w:firstLineChars="200"/>
        <w:rPr>
          <w:rFonts w:ascii="仿宋_GB2312"/>
        </w:rPr>
      </w:pPr>
      <w:r>
        <w:rPr>
          <w:rFonts w:ascii="仿宋_GB2312"/>
        </w:rPr>
        <w:t>3</w:t>
      </w:r>
      <w:r>
        <w:rPr>
          <w:rFonts w:hint="eastAsia" w:ascii="仿宋_GB2312"/>
          <w:lang w:val="en-US" w:eastAsia="zh-CN"/>
        </w:rPr>
        <w:t>.</w:t>
      </w:r>
      <w:r>
        <w:rPr>
          <w:rFonts w:hint="eastAsia" w:ascii="仿宋_GB2312"/>
        </w:rPr>
        <w:t>资金投入和使用情况</w:t>
      </w:r>
    </w:p>
    <w:p>
      <w:pPr>
        <w:spacing w:line="360" w:lineRule="auto"/>
        <w:ind w:firstLine="600" w:firstLineChars="200"/>
        <w:rPr>
          <w:color w:val="auto"/>
        </w:rPr>
      </w:pPr>
      <w:r>
        <w:rPr>
          <w:rFonts w:hint="eastAsia"/>
        </w:rPr>
        <w:t>资金投入情况：</w:t>
      </w:r>
      <w:r>
        <w:rPr>
          <w:rFonts w:hint="eastAsia"/>
          <w:color w:val="auto"/>
        </w:rPr>
        <w:t>该项目年初预算数</w:t>
      </w:r>
      <w:r>
        <w:rPr>
          <w:rFonts w:hint="eastAsia"/>
          <w:color w:val="auto"/>
          <w:lang w:val="en-US" w:eastAsia="zh-CN"/>
        </w:rPr>
        <w:t>45</w:t>
      </w:r>
      <w:r>
        <w:rPr>
          <w:rFonts w:hint="eastAsia"/>
          <w:color w:val="auto"/>
        </w:rPr>
        <w:t>万元，全年预算数</w:t>
      </w:r>
      <w:r>
        <w:rPr>
          <w:rFonts w:hint="eastAsia"/>
          <w:color w:val="auto"/>
          <w:lang w:val="en-US" w:eastAsia="zh-CN"/>
        </w:rPr>
        <w:t>45</w:t>
      </w:r>
      <w:r>
        <w:rPr>
          <w:rFonts w:hint="eastAsia"/>
          <w:color w:val="auto"/>
        </w:rPr>
        <w:t>万元，实际总投入41.140385万元，该项目资金已全部落实到位，资金来源为</w:t>
      </w:r>
      <w:r>
        <w:rPr>
          <w:rFonts w:hint="eastAsia"/>
          <w:color w:val="auto"/>
          <w:lang w:val="en-US" w:eastAsia="zh-CN"/>
        </w:rPr>
        <w:t>财政拨款</w:t>
      </w:r>
      <w:r>
        <w:rPr>
          <w:rFonts w:hint="eastAsia"/>
          <w:color w:val="auto"/>
        </w:rPr>
        <w:t>。</w:t>
      </w:r>
    </w:p>
    <w:p>
      <w:pPr>
        <w:spacing w:line="360" w:lineRule="auto"/>
        <w:ind w:firstLine="600" w:firstLineChars="200"/>
        <w:rPr>
          <w:color w:val="auto"/>
        </w:rPr>
      </w:pPr>
      <w:r>
        <w:rPr>
          <w:rFonts w:hint="eastAsia"/>
          <w:color w:val="auto"/>
        </w:rPr>
        <w:t>资金使用情况：该项目年初预算数</w:t>
      </w:r>
      <w:r>
        <w:rPr>
          <w:rFonts w:hint="eastAsia"/>
          <w:color w:val="auto"/>
          <w:lang w:val="en-US" w:eastAsia="zh-CN"/>
        </w:rPr>
        <w:t>45</w:t>
      </w:r>
      <w:r>
        <w:rPr>
          <w:rFonts w:hint="eastAsia"/>
          <w:color w:val="auto"/>
        </w:rPr>
        <w:t>万元，全年预算数</w:t>
      </w:r>
      <w:r>
        <w:rPr>
          <w:rFonts w:hint="eastAsia"/>
          <w:color w:val="auto"/>
          <w:lang w:val="en-US" w:eastAsia="zh-CN"/>
        </w:rPr>
        <w:t>45</w:t>
      </w:r>
      <w:r>
        <w:rPr>
          <w:rFonts w:hint="eastAsia"/>
          <w:color w:val="auto"/>
        </w:rPr>
        <w:t>万元，全年执行数41.140385万元，预算执行率为</w:t>
      </w:r>
      <w:r>
        <w:rPr>
          <w:rFonts w:hint="eastAsia"/>
          <w:color w:val="auto"/>
          <w:lang w:val="en-US" w:eastAsia="zh-CN"/>
        </w:rPr>
        <w:t>91.42</w:t>
      </w:r>
      <w:r>
        <w:rPr>
          <w:rFonts w:hint="eastAsia"/>
          <w:color w:val="auto"/>
        </w:rPr>
        <w:t>%，用于：新建下三宫防渗渠</w:t>
      </w:r>
      <w:r>
        <w:rPr>
          <w:rFonts w:hint="eastAsia"/>
          <w:color w:val="auto"/>
          <w:lang w:val="en-US" w:eastAsia="zh-CN"/>
        </w:rPr>
        <w:t>11.140385万元</w:t>
      </w:r>
      <w:r>
        <w:rPr>
          <w:rFonts w:hint="eastAsia"/>
          <w:color w:val="auto"/>
          <w:lang w:eastAsia="zh-CN"/>
        </w:rPr>
        <w:t>、</w:t>
      </w:r>
      <w:r>
        <w:rPr>
          <w:rFonts w:hint="eastAsia"/>
          <w:color w:val="auto"/>
          <w:lang w:val="en-US" w:eastAsia="zh-CN"/>
        </w:rPr>
        <w:t>沙湾村至上三宫人行道项目30万元</w:t>
      </w:r>
      <w:r>
        <w:rPr>
          <w:rFonts w:hint="eastAsia"/>
          <w:color w:val="auto"/>
        </w:rPr>
        <w:t>。</w:t>
      </w:r>
    </w:p>
    <w:p>
      <w:pPr>
        <w:pStyle w:val="5"/>
        <w:spacing w:line="360" w:lineRule="auto"/>
        <w:ind w:firstLine="640" w:firstLineChars="200"/>
        <w:rPr>
          <w:rFonts w:hint="eastAsia" w:ascii="仿宋_GB2312" w:eastAsia="仿宋_GB2312"/>
          <w:b w:val="0"/>
          <w:bCs w:val="0"/>
        </w:rPr>
      </w:pPr>
      <w:bookmarkStart w:id="2" w:name="_Toc68703829"/>
      <w:r>
        <w:rPr>
          <w:rFonts w:hint="eastAsia" w:ascii="仿宋_GB2312" w:eastAsia="仿宋_GB2312"/>
          <w:b w:val="0"/>
          <w:bCs w:val="0"/>
        </w:rPr>
        <w:t>（二）项目绩效目标。</w:t>
      </w:r>
      <w:bookmarkEnd w:id="2"/>
    </w:p>
    <w:p>
      <w:pPr>
        <w:spacing w:line="360" w:lineRule="auto"/>
        <w:ind w:firstLine="600" w:firstLineChars="200"/>
        <w:rPr>
          <w:rFonts w:hint="eastAsia"/>
          <w:color w:val="auto"/>
        </w:rPr>
      </w:pPr>
      <w:r>
        <w:rPr>
          <w:rFonts w:hint="eastAsia"/>
        </w:rPr>
        <w:t>1</w:t>
      </w:r>
      <w:r>
        <w:rPr>
          <w:rFonts w:hint="eastAsia"/>
          <w:lang w:val="en-US" w:eastAsia="zh-CN"/>
        </w:rPr>
        <w:t>.</w:t>
      </w:r>
      <w:r>
        <w:rPr>
          <w:rFonts w:hint="eastAsia"/>
        </w:rPr>
        <w:t>总体目标：</w:t>
      </w:r>
      <w:r>
        <w:rPr>
          <w:rFonts w:hint="eastAsia"/>
          <w:color w:val="auto"/>
        </w:rPr>
        <w:t>霍城县三宫回族乡人民政府，新建下三宫防渗渠长427米，深0.6米，宽0.82米。通过农田灌溉防渗渠建设，可切实对下三宫村各族村民发展经济带来很好的基础和保障。最终实现从村容村貌的改变，实现整村的大变化，坚持以节水为中心，通过项目实施，完善居民区巷道渠系配套完善，减少原有土渠防渗和水土流失。项目实施后，将极大解决该村各族群众生产发展难题，为推进该村产业结构调整打好了基础，加快了农牧民增收步伐。使各少数民族群众感受到党和政府的温暖，有利于加强民族团结，产生极大的政治、社会效益。</w:t>
      </w:r>
    </w:p>
    <w:p>
      <w:pPr>
        <w:spacing w:line="360" w:lineRule="auto"/>
        <w:ind w:firstLine="600" w:firstLineChars="200"/>
        <w:rPr>
          <w:rFonts w:hint="eastAsia" w:ascii="仿宋_GB2312"/>
        </w:rPr>
      </w:pPr>
      <w:r>
        <w:t>2</w:t>
      </w:r>
      <w:r>
        <w:rPr>
          <w:rFonts w:hint="eastAsia"/>
          <w:lang w:val="en-US" w:eastAsia="zh-CN"/>
        </w:rPr>
        <w:t>.</w:t>
      </w:r>
      <w:r>
        <w:rPr>
          <w:rFonts w:hint="eastAsia"/>
        </w:rPr>
        <w:t>阶段性目标：</w:t>
      </w:r>
      <w:r>
        <w:rPr>
          <w:rFonts w:hint="eastAsia" w:ascii="仿宋_GB2312"/>
        </w:rPr>
        <w:t>项目实施后，将极大解决该村各族群众生产发展难题，为推进该村产业结构调整打好了基础，加快了农牧民增收步伐。使各少数民族群众感受到党和政府的温暖，有利于加强民族团结，产生极大的政治、社会效益。</w:t>
      </w:r>
    </w:p>
    <w:p>
      <w:pPr>
        <w:pStyle w:val="4"/>
        <w:spacing w:line="360" w:lineRule="auto"/>
        <w:rPr>
          <w:rFonts w:ascii="宋体" w:hAnsi="宋体" w:eastAsia="宋体"/>
          <w:sz w:val="32"/>
          <w:szCs w:val="32"/>
        </w:rPr>
      </w:pPr>
      <w:bookmarkStart w:id="3" w:name="_Toc68703830"/>
      <w:r>
        <w:rPr>
          <w:rFonts w:hint="eastAsia" w:ascii="宋体" w:hAnsi="宋体" w:eastAsia="宋体"/>
          <w:sz w:val="32"/>
          <w:szCs w:val="32"/>
        </w:rPr>
        <w:t>二、绩效评价工作开展情况</w:t>
      </w:r>
      <w:bookmarkEnd w:id="3"/>
    </w:p>
    <w:p>
      <w:pPr>
        <w:pStyle w:val="5"/>
        <w:spacing w:line="360" w:lineRule="auto"/>
        <w:rPr>
          <w:rFonts w:hint="eastAsia" w:ascii="仿宋_GB2312" w:eastAsia="仿宋_GB2312"/>
          <w:b w:val="0"/>
          <w:bCs w:val="0"/>
        </w:rPr>
      </w:pPr>
      <w:bookmarkStart w:id="4" w:name="_Toc68703831"/>
      <w:r>
        <w:rPr>
          <w:rFonts w:hint="eastAsia" w:ascii="仿宋_GB2312" w:eastAsia="仿宋_GB2312"/>
          <w:b w:val="0"/>
          <w:bCs w:val="0"/>
        </w:rPr>
        <w:t>（一）绩效评价目的、对象和范围。</w:t>
      </w:r>
      <w:bookmarkEnd w:id="4"/>
    </w:p>
    <w:p>
      <w:pPr>
        <w:spacing w:line="360" w:lineRule="auto"/>
      </w:pPr>
      <w:r>
        <w:rPr>
          <w:rFonts w:hint="eastAsia"/>
        </w:rPr>
        <w:t>1</w:t>
      </w:r>
      <w:r>
        <w:rPr>
          <w:rFonts w:hint="eastAsia"/>
          <w:lang w:val="en-US" w:eastAsia="zh-CN"/>
        </w:rPr>
        <w:t>.</w:t>
      </w:r>
      <w:r>
        <w:rPr>
          <w:rFonts w:hint="eastAsia"/>
        </w:rPr>
        <w:t>绩效评价目的：</w:t>
      </w:r>
    </w:p>
    <w:p>
      <w:pPr>
        <w:spacing w:line="360" w:lineRule="auto"/>
        <w:ind w:firstLine="640" w:firstLineChars="200"/>
        <w:jc w:val="left"/>
        <w:rPr>
          <w:rFonts w:ascii="仿宋_GB2312"/>
          <w:bCs/>
          <w:color w:val="auto"/>
          <w:sz w:val="32"/>
          <w:szCs w:val="32"/>
        </w:rPr>
      </w:pPr>
      <w:r>
        <w:rPr>
          <w:rFonts w:hint="eastAsia" w:ascii="仿宋_GB2312"/>
          <w:bCs/>
          <w:color w:val="auto"/>
          <w:sz w:val="32"/>
          <w:szCs w:val="32"/>
        </w:rPr>
        <w:t>通过绩效评价，客观地评判项目的管理绩效，了解和掌握</w:t>
      </w:r>
      <w:r>
        <w:rPr>
          <w:rFonts w:hint="eastAsia" w:ascii="仿宋_GB2312" w:hAnsi="Times New Roman" w:cs="Times New Roman"/>
          <w:bCs/>
          <w:color w:val="auto"/>
          <w:sz w:val="32"/>
          <w:szCs w:val="32"/>
        </w:rPr>
        <w:t>农村综合改革转移支付的具体情况，评价该项目资金安排的科学</w:t>
      </w:r>
      <w:r>
        <w:rPr>
          <w:rFonts w:hint="eastAsia" w:ascii="仿宋_GB2312"/>
          <w:bCs/>
          <w:color w:val="auto"/>
          <w:sz w:val="32"/>
          <w:szCs w:val="32"/>
        </w:rPr>
        <w:t>性、合理性、规范性和资金的使用成效，及时总结项目管理经验，完善项目管理办法，提高项目管理水平和资金使用效益。促使我</w:t>
      </w:r>
      <w:r>
        <w:rPr>
          <w:rFonts w:hint="eastAsia" w:ascii="仿宋_GB2312"/>
          <w:bCs/>
          <w:color w:val="auto"/>
          <w:sz w:val="32"/>
          <w:szCs w:val="32"/>
          <w:lang w:val="en-US" w:eastAsia="zh-CN"/>
        </w:rPr>
        <w:t>单位</w:t>
      </w:r>
      <w:r>
        <w:rPr>
          <w:rFonts w:hint="eastAsia" w:ascii="仿宋_GB2312"/>
          <w:bCs/>
          <w:color w:val="auto"/>
          <w:sz w:val="32"/>
          <w:szCs w:val="32"/>
        </w:rPr>
        <w:t>根据绩效评价中发现的问题，认真加以整改，及时调整和完善单位的工作计划并加强项目</w:t>
      </w:r>
      <w:r>
        <w:rPr>
          <w:rFonts w:hint="eastAsia" w:ascii="仿宋_GB2312"/>
          <w:bCs/>
          <w:color w:val="auto"/>
          <w:sz w:val="32"/>
          <w:szCs w:val="32"/>
          <w:lang w:val="en-US" w:eastAsia="zh-CN"/>
        </w:rPr>
        <w:t>绩效</w:t>
      </w:r>
      <w:r>
        <w:rPr>
          <w:rFonts w:hint="eastAsia" w:ascii="仿宋_GB2312"/>
          <w:bCs/>
          <w:color w:val="auto"/>
          <w:sz w:val="32"/>
          <w:szCs w:val="32"/>
        </w:rPr>
        <w:t>管理，同时为项目后续资金投入、分配和管理提供决策依据。</w:t>
      </w:r>
    </w:p>
    <w:p>
      <w:pPr>
        <w:spacing w:line="360" w:lineRule="auto"/>
        <w:ind w:firstLine="600" w:firstLineChars="200"/>
        <w:jc w:val="left"/>
      </w:pPr>
      <w:r>
        <w:rPr>
          <w:rFonts w:hint="eastAsia"/>
        </w:rPr>
        <w:t>2</w:t>
      </w:r>
      <w:r>
        <w:rPr>
          <w:rFonts w:hint="eastAsia"/>
          <w:lang w:val="en-US" w:eastAsia="zh-CN"/>
        </w:rPr>
        <w:t>.</w:t>
      </w:r>
      <w:r>
        <w:rPr>
          <w:rFonts w:hint="eastAsia"/>
        </w:rPr>
        <w:t>绩效评价对象：</w:t>
      </w:r>
    </w:p>
    <w:p>
      <w:pPr>
        <w:spacing w:line="360" w:lineRule="auto"/>
        <w:ind w:firstLine="600" w:firstLineChars="200"/>
        <w:rPr>
          <w:rFonts w:hint="eastAsia" w:ascii="宋体" w:hAnsi="宋体" w:eastAsia="宋体" w:cs="仿宋_GB2312"/>
          <w:b/>
          <w:bCs/>
          <w:color w:val="auto"/>
          <w:kern w:val="0"/>
          <w:sz w:val="32"/>
          <w:szCs w:val="32"/>
        </w:rPr>
      </w:pPr>
      <w:r>
        <w:rPr>
          <w:rFonts w:hint="eastAsia" w:ascii="Times New Roman" w:hAnsi="Times New Roman" w:cs="Times New Roman"/>
          <w:color w:val="auto"/>
        </w:rPr>
        <w:t>农村综合改革转移支付</w:t>
      </w:r>
    </w:p>
    <w:p>
      <w:pPr>
        <w:spacing w:line="360" w:lineRule="auto"/>
        <w:ind w:firstLine="600" w:firstLineChars="200"/>
      </w:pPr>
      <w:r>
        <w:rPr>
          <w:rFonts w:hint="eastAsia"/>
        </w:rPr>
        <w:t>3</w:t>
      </w:r>
      <w:r>
        <w:rPr>
          <w:rFonts w:hint="eastAsia"/>
          <w:lang w:val="en-US" w:eastAsia="zh-CN"/>
        </w:rPr>
        <w:t>.</w:t>
      </w:r>
      <w:r>
        <w:rPr>
          <w:rFonts w:hint="eastAsia"/>
        </w:rPr>
        <w:t>绩效评价范围：</w:t>
      </w:r>
    </w:p>
    <w:p>
      <w:pPr>
        <w:spacing w:line="360" w:lineRule="auto"/>
        <w:ind w:firstLine="600" w:firstLineChars="200"/>
        <w:rPr>
          <w:color w:val="auto"/>
        </w:rPr>
      </w:pPr>
      <w:r>
        <w:rPr>
          <w:rFonts w:hint="eastAsia"/>
          <w:color w:val="auto"/>
        </w:rPr>
        <w:t>本次评价从项目决策（包括绩效目标、决策过程）、项目管理（包括项目资金、项目实施）、项目产出（包括项目产出数量、产出质量、产出时效和产出成本）项目效益四个维度进行</w:t>
      </w:r>
      <w:r>
        <w:rPr>
          <w:rFonts w:hint="eastAsia" w:ascii="Times New Roman" w:hAnsi="Times New Roman" w:cs="Times New Roman"/>
          <w:color w:val="auto"/>
        </w:rPr>
        <w:t>农村综合改革转移支付评价，评价核</w:t>
      </w:r>
      <w:r>
        <w:rPr>
          <w:rFonts w:hint="eastAsia"/>
          <w:color w:val="auto"/>
        </w:rPr>
        <w:t>心为资金的支出完成情况和效果。</w:t>
      </w:r>
    </w:p>
    <w:p>
      <w:pPr>
        <w:pStyle w:val="5"/>
        <w:spacing w:line="360" w:lineRule="auto"/>
        <w:rPr>
          <w:rFonts w:hint="eastAsia" w:ascii="仿宋_GB2312" w:eastAsia="仿宋_GB2312"/>
          <w:b w:val="0"/>
          <w:bCs w:val="0"/>
        </w:rPr>
      </w:pPr>
      <w:bookmarkStart w:id="5" w:name="_Toc68703832"/>
      <w:r>
        <w:rPr>
          <w:rFonts w:hint="eastAsia" w:ascii="仿宋_GB2312" w:eastAsia="仿宋_GB2312"/>
          <w:b w:val="0"/>
          <w:bCs w:val="0"/>
        </w:rPr>
        <w:t>（二）绩效评价原则、评价指标体系、评价方法、评价标准等。</w:t>
      </w:r>
      <w:bookmarkEnd w:id="5"/>
    </w:p>
    <w:p>
      <w:pPr>
        <w:spacing w:line="360" w:lineRule="auto"/>
        <w:ind w:firstLine="600" w:firstLineChars="200"/>
        <w:jc w:val="left"/>
        <w:rPr>
          <w:rFonts w:hint="eastAsia"/>
        </w:rPr>
      </w:pPr>
      <w:r>
        <w:rPr>
          <w:rFonts w:hint="eastAsia"/>
        </w:rPr>
        <w:t>1</w:t>
      </w:r>
      <w:r>
        <w:rPr>
          <w:rFonts w:hint="eastAsia"/>
          <w:lang w:val="en-US" w:eastAsia="zh-CN"/>
        </w:rPr>
        <w:t>.</w:t>
      </w:r>
      <w:r>
        <w:rPr>
          <w:rFonts w:hint="eastAsia"/>
        </w:rPr>
        <w:t>绩效评价原则</w:t>
      </w:r>
    </w:p>
    <w:p>
      <w:pPr>
        <w:spacing w:line="600" w:lineRule="exact"/>
        <w:ind w:firstLine="640"/>
        <w:rPr>
          <w:rFonts w:ascii="仿宋_GB2312"/>
          <w:bCs/>
          <w:color w:val="auto"/>
          <w:sz w:val="32"/>
          <w:szCs w:val="32"/>
        </w:rPr>
      </w:pPr>
      <w:r>
        <w:rPr>
          <w:rFonts w:hint="eastAsia" w:ascii="仿宋_GB2312"/>
          <w:bCs/>
          <w:color w:val="auto"/>
          <w:sz w:val="32"/>
          <w:szCs w:val="32"/>
        </w:rPr>
        <w:t>（一）科学公正。本次项目支出绩效评价运用科学合理的方法，按照规范的程序，对项目绩效进行客观、公正的反映。</w:t>
      </w:r>
    </w:p>
    <w:p>
      <w:pPr>
        <w:spacing w:line="600" w:lineRule="exact"/>
        <w:ind w:firstLine="640"/>
        <w:rPr>
          <w:rFonts w:ascii="仿宋_GB2312"/>
          <w:bCs/>
          <w:color w:val="auto"/>
          <w:sz w:val="32"/>
          <w:szCs w:val="32"/>
        </w:rPr>
      </w:pPr>
      <w:r>
        <w:rPr>
          <w:rFonts w:hint="eastAsia" w:ascii="仿宋_GB2312"/>
          <w:bCs/>
          <w:color w:val="auto"/>
          <w:sz w:val="32"/>
          <w:szCs w:val="32"/>
        </w:rPr>
        <w:t>（二）统筹兼顾。本次项目支出绩效评价由本单位自主实施，即“谁支出、谁自评”。</w:t>
      </w:r>
    </w:p>
    <w:p>
      <w:pPr>
        <w:spacing w:line="600" w:lineRule="exact"/>
        <w:ind w:firstLine="640"/>
        <w:rPr>
          <w:rFonts w:hint="eastAsia" w:ascii="仿宋_GB2312"/>
          <w:bCs/>
          <w:color w:val="auto"/>
          <w:sz w:val="32"/>
          <w:szCs w:val="32"/>
        </w:rPr>
      </w:pPr>
      <w:r>
        <w:rPr>
          <w:rFonts w:hint="eastAsia" w:ascii="仿宋_GB2312"/>
          <w:bCs/>
          <w:color w:val="auto"/>
          <w:sz w:val="32"/>
          <w:szCs w:val="32"/>
        </w:rPr>
        <w:t>（三）激励约束。本次项目支出绩效评价结果与预算安排、政策调整、改进管理实质性挂钩，体现奖优罚劣和激励相容导向，有效要安排、低效要压减、无效要问责。</w:t>
      </w:r>
    </w:p>
    <w:p>
      <w:pPr>
        <w:pStyle w:val="2"/>
        <w:ind w:left="0" w:leftChars="0" w:firstLine="640" w:firstLineChars="200"/>
        <w:rPr>
          <w:rFonts w:hint="default" w:ascii="仿宋_GB2312" w:hAnsi="Times New Roman" w:eastAsia="仿宋_GB2312" w:cs="Times New Roman"/>
          <w:bCs/>
          <w:color w:val="auto"/>
          <w:kern w:val="2"/>
          <w:sz w:val="32"/>
          <w:szCs w:val="32"/>
          <w:lang w:val="en-US" w:eastAsia="zh-CN" w:bidi="ar-SA"/>
        </w:rPr>
      </w:pPr>
      <w:r>
        <w:rPr>
          <w:rFonts w:hint="eastAsia" w:ascii="仿宋_GB2312" w:hAnsi="Times New Roman" w:eastAsia="仿宋_GB2312" w:cs="Times New Roman"/>
          <w:bCs/>
          <w:color w:val="auto"/>
          <w:kern w:val="2"/>
          <w:sz w:val="32"/>
          <w:szCs w:val="32"/>
          <w:lang w:val="en-US" w:eastAsia="zh-CN" w:bidi="ar-SA"/>
        </w:rPr>
        <w:t>（四）</w:t>
      </w:r>
      <w:r>
        <w:rPr>
          <w:rFonts w:hint="eastAsia" w:ascii="仿宋_GB2312" w:cs="Times New Roman"/>
          <w:bCs/>
          <w:color w:val="auto"/>
          <w:kern w:val="2"/>
          <w:sz w:val="32"/>
          <w:szCs w:val="32"/>
          <w:lang w:val="en-US" w:eastAsia="zh-CN" w:bidi="ar-SA"/>
        </w:rPr>
        <w:t>公开透明。本次项目支出绩效评价结果已依法依规公开在霍城县政府网站中，并自觉接受社会监督。</w:t>
      </w:r>
    </w:p>
    <w:p>
      <w:pPr>
        <w:pStyle w:val="2"/>
        <w:ind w:left="0" w:leftChars="0" w:firstLine="0" w:firstLineChars="0"/>
        <w:rPr>
          <w:rFonts w:hint="eastAsia" w:eastAsia="仿宋_GB2312"/>
          <w:lang w:val="en-US" w:eastAsia="zh-CN"/>
        </w:rPr>
      </w:pPr>
    </w:p>
    <w:p>
      <w:pPr>
        <w:spacing w:line="360" w:lineRule="auto"/>
        <w:ind w:firstLine="600" w:firstLineChars="200"/>
        <w:jc w:val="left"/>
        <w:rPr>
          <w:rFonts w:hint="eastAsia"/>
        </w:rPr>
      </w:pPr>
      <w:r>
        <w:rPr>
          <w:rFonts w:hint="eastAsia"/>
        </w:rPr>
        <w:t>2、评价指标体系（附表说明）</w:t>
      </w:r>
    </w:p>
    <w:p>
      <w:pPr>
        <w:pStyle w:val="5"/>
        <w:spacing w:before="0" w:after="0" w:line="240" w:lineRule="auto"/>
        <w:jc w:val="center"/>
        <w:rPr>
          <w:rFonts w:ascii="Times New Roman" w:hAnsi="Times New Roman" w:eastAsia="仿宋_GB2312" w:cs="Times New Roman"/>
          <w:b w:val="0"/>
          <w:bCs w:val="0"/>
          <w:sz w:val="30"/>
          <w:szCs w:val="24"/>
        </w:rPr>
      </w:pPr>
      <w:r>
        <w:rPr>
          <w:rFonts w:hint="eastAsia" w:ascii="Times New Roman" w:hAnsi="Times New Roman" w:eastAsia="仿宋_GB2312" w:cs="Times New Roman"/>
          <w:b w:val="0"/>
          <w:bCs w:val="0"/>
          <w:sz w:val="30"/>
          <w:szCs w:val="24"/>
        </w:rPr>
        <w:t>农村综合改革转移支付项目支出绩效评价指标体系</w:t>
      </w:r>
    </w:p>
    <w:tbl>
      <w:tblPr>
        <w:tblStyle w:val="10"/>
        <w:tblW w:w="9859" w:type="dxa"/>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
      <w:tblGrid>
        <w:gridCol w:w="757"/>
        <w:gridCol w:w="1478"/>
        <w:gridCol w:w="1875"/>
        <w:gridCol w:w="3885"/>
        <w:gridCol w:w="990"/>
        <w:gridCol w:w="874"/>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692" w:hRule="atLeast"/>
          <w:tblHeader/>
          <w:jc w:val="center"/>
        </w:trPr>
        <w:tc>
          <w:tcPr>
            <w:tcW w:w="757" w:type="dxa"/>
            <w:shd w:val="clear" w:color="auto" w:fill="FFFFFF"/>
            <w:vAlign w:val="center"/>
          </w:tcPr>
          <w:p>
            <w:pPr>
              <w:widowControl/>
              <w:spacing w:line="0" w:lineRule="atLeast"/>
              <w:jc w:val="center"/>
              <w:rPr>
                <w:rFonts w:ascii="宋体" w:hAnsi="宋体" w:eastAsia="宋体" w:cs="宋体"/>
                <w:b/>
                <w:bCs/>
                <w:color w:val="000000"/>
                <w:kern w:val="0"/>
                <w:sz w:val="22"/>
              </w:rPr>
            </w:pPr>
            <w:r>
              <w:rPr>
                <w:rFonts w:hint="eastAsia" w:ascii="宋体" w:hAnsi="宋体" w:eastAsia="宋体" w:cs="宋体"/>
                <w:b/>
                <w:bCs/>
                <w:color w:val="000000"/>
                <w:kern w:val="0"/>
                <w:sz w:val="22"/>
              </w:rPr>
              <w:t>一级指标</w:t>
            </w:r>
          </w:p>
        </w:tc>
        <w:tc>
          <w:tcPr>
            <w:tcW w:w="1478" w:type="dxa"/>
            <w:shd w:val="clear" w:color="auto" w:fill="FFFFFF"/>
            <w:vAlign w:val="center"/>
          </w:tcPr>
          <w:p>
            <w:pPr>
              <w:widowControl/>
              <w:spacing w:line="0" w:lineRule="atLeast"/>
              <w:jc w:val="center"/>
              <w:rPr>
                <w:rFonts w:ascii="宋体" w:hAnsi="宋体" w:eastAsia="宋体" w:cs="宋体"/>
                <w:b/>
                <w:bCs/>
                <w:color w:val="000000"/>
                <w:kern w:val="0"/>
                <w:sz w:val="22"/>
              </w:rPr>
            </w:pPr>
            <w:r>
              <w:rPr>
                <w:rFonts w:hint="eastAsia" w:ascii="宋体" w:hAnsi="宋体" w:eastAsia="宋体" w:cs="宋体"/>
                <w:b/>
                <w:bCs/>
                <w:color w:val="000000"/>
                <w:kern w:val="0"/>
                <w:sz w:val="22"/>
              </w:rPr>
              <w:t>二级指标</w:t>
            </w:r>
          </w:p>
        </w:tc>
        <w:tc>
          <w:tcPr>
            <w:tcW w:w="1875" w:type="dxa"/>
            <w:tcBorders>
              <w:right w:val="single" w:color="auto" w:sz="4" w:space="0"/>
            </w:tcBorders>
            <w:shd w:val="clear" w:color="auto" w:fill="FFFFFF"/>
            <w:vAlign w:val="center"/>
          </w:tcPr>
          <w:p>
            <w:pPr>
              <w:widowControl/>
              <w:spacing w:line="0" w:lineRule="atLeast"/>
              <w:jc w:val="center"/>
              <w:rPr>
                <w:rFonts w:ascii="宋体" w:hAnsi="宋体" w:eastAsia="宋体" w:cs="宋体"/>
                <w:b/>
                <w:bCs/>
                <w:color w:val="000000"/>
                <w:kern w:val="0"/>
                <w:sz w:val="22"/>
              </w:rPr>
            </w:pPr>
            <w:r>
              <w:rPr>
                <w:rFonts w:hint="eastAsia" w:ascii="宋体" w:hAnsi="宋体" w:eastAsia="宋体" w:cs="宋体"/>
                <w:b/>
                <w:bCs/>
                <w:color w:val="000000"/>
                <w:kern w:val="0"/>
                <w:sz w:val="22"/>
              </w:rPr>
              <w:t>三级指标</w:t>
            </w:r>
          </w:p>
        </w:tc>
        <w:tc>
          <w:tcPr>
            <w:tcW w:w="3885" w:type="dxa"/>
            <w:tcBorders>
              <w:right w:val="single" w:color="auto" w:sz="4" w:space="0"/>
            </w:tcBorders>
            <w:shd w:val="clear" w:color="auto" w:fill="FFFFFF"/>
          </w:tcPr>
          <w:p>
            <w:pPr>
              <w:widowControl/>
              <w:spacing w:line="600" w:lineRule="auto"/>
              <w:jc w:val="center"/>
              <w:rPr>
                <w:rFonts w:ascii="宋体" w:hAnsi="宋体" w:eastAsia="宋体" w:cs="宋体"/>
                <w:b/>
                <w:bCs/>
                <w:color w:val="000000"/>
                <w:kern w:val="0"/>
                <w:sz w:val="22"/>
              </w:rPr>
            </w:pPr>
            <w:r>
              <w:rPr>
                <w:rFonts w:hint="eastAsia" w:ascii="宋体" w:hAnsi="宋体" w:eastAsia="宋体" w:cs="宋体"/>
                <w:b/>
                <w:bCs/>
                <w:color w:val="000000"/>
                <w:kern w:val="0"/>
                <w:sz w:val="22"/>
              </w:rPr>
              <w:t>指标解释</w:t>
            </w:r>
          </w:p>
        </w:tc>
        <w:tc>
          <w:tcPr>
            <w:tcW w:w="990" w:type="dxa"/>
            <w:tcBorders>
              <w:left w:val="single" w:color="auto" w:sz="4" w:space="0"/>
            </w:tcBorders>
            <w:shd w:val="clear" w:color="auto" w:fill="FFFFFF"/>
          </w:tcPr>
          <w:p>
            <w:pPr>
              <w:widowControl/>
              <w:spacing w:line="600" w:lineRule="auto"/>
              <w:jc w:val="center"/>
              <w:rPr>
                <w:rFonts w:ascii="宋体" w:hAnsi="宋体" w:eastAsia="宋体" w:cs="宋体"/>
                <w:b/>
                <w:bCs/>
                <w:color w:val="000000"/>
                <w:kern w:val="0"/>
                <w:sz w:val="22"/>
              </w:rPr>
            </w:pPr>
            <w:r>
              <w:rPr>
                <w:rFonts w:hint="eastAsia" w:ascii="宋体" w:hAnsi="宋体" w:eastAsia="宋体" w:cs="宋体"/>
                <w:b/>
                <w:bCs/>
                <w:color w:val="000000"/>
                <w:kern w:val="0"/>
                <w:sz w:val="22"/>
              </w:rPr>
              <w:t>分值</w:t>
            </w:r>
          </w:p>
        </w:tc>
        <w:tc>
          <w:tcPr>
            <w:tcW w:w="874" w:type="dxa"/>
            <w:shd w:val="clear" w:color="auto" w:fill="FFFFFF"/>
          </w:tcPr>
          <w:p>
            <w:pPr>
              <w:widowControl/>
              <w:spacing w:line="600" w:lineRule="auto"/>
              <w:jc w:val="center"/>
              <w:rPr>
                <w:rFonts w:ascii="宋体" w:hAnsi="宋体" w:eastAsia="宋体" w:cs="宋体"/>
                <w:b/>
                <w:bCs/>
                <w:color w:val="000000"/>
                <w:kern w:val="0"/>
                <w:sz w:val="22"/>
              </w:rPr>
            </w:pPr>
            <w:r>
              <w:rPr>
                <w:rFonts w:hint="eastAsia" w:ascii="宋体" w:hAnsi="宋体" w:eastAsia="宋体" w:cs="宋体"/>
                <w:b/>
                <w:bCs/>
                <w:color w:val="000000"/>
                <w:kern w:val="0"/>
                <w:sz w:val="22"/>
              </w:rPr>
              <w:t>得分</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95" w:hRule="atLeast"/>
          <w:jc w:val="center"/>
        </w:trPr>
        <w:tc>
          <w:tcPr>
            <w:tcW w:w="757" w:type="dxa"/>
            <w:vMerge w:val="restart"/>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决策</w:t>
            </w:r>
          </w:p>
        </w:tc>
        <w:tc>
          <w:tcPr>
            <w:tcW w:w="1478" w:type="dxa"/>
            <w:vMerge w:val="restart"/>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项目立项　</w:t>
            </w:r>
          </w:p>
        </w:tc>
        <w:tc>
          <w:tcPr>
            <w:tcW w:w="1875" w:type="dxa"/>
            <w:tcBorders>
              <w:right w:val="single" w:color="auto" w:sz="4" w:space="0"/>
            </w:tcBorders>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立项依据</w:t>
            </w:r>
          </w:p>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充分性</w:t>
            </w:r>
          </w:p>
        </w:tc>
        <w:tc>
          <w:tcPr>
            <w:tcW w:w="3885" w:type="dxa"/>
            <w:tcBorders>
              <w:right w:val="single" w:color="auto" w:sz="4" w:space="0"/>
            </w:tcBorders>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项目立项是否符合法律法规、相关政策、发展规划以及部门职责，用以反映和考核项目立项依据情况。</w:t>
            </w:r>
          </w:p>
        </w:tc>
        <w:tc>
          <w:tcPr>
            <w:tcW w:w="990" w:type="dxa"/>
            <w:tcBorders>
              <w:left w:val="single" w:color="auto" w:sz="4" w:space="0"/>
            </w:tcBorders>
            <w:shd w:val="clear" w:color="auto" w:fill="FFFFFF"/>
          </w:tcPr>
          <w:p>
            <w:pPr>
              <w:spacing w:line="600" w:lineRule="auto"/>
              <w:jc w:val="center"/>
              <w:rPr>
                <w:rFonts w:hint="eastAsia" w:eastAsia="仿宋_GB2312"/>
                <w:lang w:val="en-US" w:eastAsia="zh-CN"/>
              </w:rPr>
            </w:pPr>
            <w:r>
              <w:rPr>
                <w:rFonts w:hint="eastAsia"/>
                <w:lang w:val="en-US" w:eastAsia="zh-CN"/>
              </w:rPr>
              <w:t>5</w:t>
            </w:r>
          </w:p>
        </w:tc>
        <w:tc>
          <w:tcPr>
            <w:tcW w:w="874" w:type="dxa"/>
            <w:tcBorders>
              <w:bottom w:val="single" w:color="auto" w:sz="4" w:space="0"/>
            </w:tcBorders>
            <w:shd w:val="clear" w:color="auto" w:fill="FFFFFF"/>
          </w:tcPr>
          <w:p>
            <w:pPr>
              <w:spacing w:line="600" w:lineRule="auto"/>
              <w:jc w:val="center"/>
              <w:rPr>
                <w:rFonts w:hint="eastAsia" w:eastAsia="仿宋_GB2312"/>
                <w:lang w:val="en-US" w:eastAsia="zh-CN"/>
              </w:rPr>
            </w:pPr>
            <w:r>
              <w:rPr>
                <w:rFonts w:hint="eastAsia"/>
                <w:lang w:val="en-US" w:eastAsia="zh-CN"/>
              </w:rPr>
              <w:t>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47" w:hRule="atLeast"/>
          <w:jc w:val="center"/>
        </w:trPr>
        <w:tc>
          <w:tcPr>
            <w:tcW w:w="757" w:type="dxa"/>
            <w:vMerge w:val="continue"/>
            <w:shd w:val="clear" w:color="auto" w:fill="FFFFFF"/>
            <w:vAlign w:val="center"/>
          </w:tcPr>
          <w:p>
            <w:pPr>
              <w:spacing w:line="0" w:lineRule="atLeast"/>
              <w:jc w:val="center"/>
              <w:rPr>
                <w:rFonts w:ascii="宋体" w:hAnsi="宋体" w:cs="宋体"/>
                <w:color w:val="000000"/>
                <w:kern w:val="0"/>
                <w:sz w:val="22"/>
              </w:rPr>
            </w:pPr>
          </w:p>
        </w:tc>
        <w:tc>
          <w:tcPr>
            <w:tcW w:w="1478" w:type="dxa"/>
            <w:vMerge w:val="continue"/>
            <w:shd w:val="clear" w:color="auto" w:fill="FFFFFF"/>
            <w:vAlign w:val="center"/>
          </w:tcPr>
          <w:p>
            <w:pPr>
              <w:widowControl/>
              <w:spacing w:line="0" w:lineRule="atLeast"/>
              <w:jc w:val="center"/>
              <w:rPr>
                <w:rFonts w:ascii="宋体" w:hAnsi="宋体" w:cs="宋体"/>
                <w:color w:val="000000"/>
                <w:kern w:val="0"/>
                <w:sz w:val="22"/>
              </w:rPr>
            </w:pPr>
          </w:p>
        </w:tc>
        <w:tc>
          <w:tcPr>
            <w:tcW w:w="1875" w:type="dxa"/>
            <w:tcBorders>
              <w:right w:val="single" w:color="auto" w:sz="4" w:space="0"/>
            </w:tcBorders>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立项程序</w:t>
            </w:r>
          </w:p>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规范性</w:t>
            </w:r>
          </w:p>
        </w:tc>
        <w:tc>
          <w:tcPr>
            <w:tcW w:w="3885" w:type="dxa"/>
            <w:tcBorders>
              <w:right w:val="single" w:color="auto" w:sz="4" w:space="0"/>
            </w:tcBorders>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项目申请、设立过程是否符合相关要求，用以反映和考核项目立项的规范情况</w:t>
            </w:r>
          </w:p>
        </w:tc>
        <w:tc>
          <w:tcPr>
            <w:tcW w:w="990" w:type="dxa"/>
            <w:tcBorders>
              <w:left w:val="single" w:color="auto" w:sz="4" w:space="0"/>
            </w:tcBorders>
            <w:shd w:val="clear" w:color="auto" w:fill="FFFFFF"/>
          </w:tcPr>
          <w:p>
            <w:pPr>
              <w:spacing w:line="600" w:lineRule="auto"/>
              <w:jc w:val="center"/>
              <w:rPr>
                <w:rFonts w:hint="eastAsia" w:eastAsia="仿宋_GB2312"/>
                <w:lang w:val="en-US" w:eastAsia="zh-CN"/>
              </w:rPr>
            </w:pPr>
            <w:r>
              <w:rPr>
                <w:rFonts w:hint="eastAsia"/>
                <w:lang w:val="en-US" w:eastAsia="zh-CN"/>
              </w:rPr>
              <w:t>5</w:t>
            </w:r>
          </w:p>
        </w:tc>
        <w:tc>
          <w:tcPr>
            <w:tcW w:w="874" w:type="dxa"/>
            <w:shd w:val="clear" w:color="auto" w:fill="FFFFFF"/>
          </w:tcPr>
          <w:p>
            <w:pPr>
              <w:spacing w:line="600" w:lineRule="auto"/>
              <w:jc w:val="center"/>
              <w:rPr>
                <w:rFonts w:hint="eastAsia" w:eastAsia="仿宋_GB2312"/>
                <w:lang w:val="en-US" w:eastAsia="zh-CN"/>
              </w:rPr>
            </w:pPr>
            <w:r>
              <w:rPr>
                <w:rFonts w:hint="eastAsia"/>
                <w:lang w:val="en-US" w:eastAsia="zh-CN"/>
              </w:rPr>
              <w:t>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13" w:hRule="atLeast"/>
          <w:jc w:val="center"/>
        </w:trPr>
        <w:tc>
          <w:tcPr>
            <w:tcW w:w="757" w:type="dxa"/>
            <w:vMerge w:val="continue"/>
            <w:shd w:val="clear" w:color="auto" w:fill="FFFFFF"/>
            <w:vAlign w:val="center"/>
          </w:tcPr>
          <w:p>
            <w:pPr>
              <w:spacing w:line="0" w:lineRule="atLeast"/>
              <w:jc w:val="center"/>
              <w:rPr>
                <w:rFonts w:ascii="宋体" w:hAnsi="宋体" w:cs="宋体"/>
                <w:color w:val="000000"/>
                <w:kern w:val="0"/>
                <w:sz w:val="22"/>
              </w:rPr>
            </w:pPr>
          </w:p>
        </w:tc>
        <w:tc>
          <w:tcPr>
            <w:tcW w:w="1478" w:type="dxa"/>
            <w:vMerge w:val="restart"/>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绩效目标</w:t>
            </w:r>
          </w:p>
        </w:tc>
        <w:tc>
          <w:tcPr>
            <w:tcW w:w="1875" w:type="dxa"/>
            <w:tcBorders>
              <w:right w:val="single" w:color="auto" w:sz="4" w:space="0"/>
            </w:tcBorders>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绩效目标</w:t>
            </w:r>
          </w:p>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合理性</w:t>
            </w:r>
          </w:p>
        </w:tc>
        <w:tc>
          <w:tcPr>
            <w:tcW w:w="3885" w:type="dxa"/>
            <w:tcBorders>
              <w:right w:val="single" w:color="auto" w:sz="4" w:space="0"/>
            </w:tcBorders>
            <w:shd w:val="clear" w:color="000000"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项目所设定的绩效目标是否依据充分，是否符合客观实际，用以反映和考核项目绩效目标与项目实施的相符情况。</w:t>
            </w:r>
          </w:p>
        </w:tc>
        <w:tc>
          <w:tcPr>
            <w:tcW w:w="990" w:type="dxa"/>
            <w:tcBorders>
              <w:left w:val="single" w:color="auto" w:sz="4" w:space="0"/>
            </w:tcBorders>
            <w:shd w:val="clear" w:color="000000" w:fill="FFFFFF"/>
          </w:tcPr>
          <w:p>
            <w:pPr>
              <w:spacing w:line="600" w:lineRule="auto"/>
              <w:jc w:val="center"/>
              <w:rPr>
                <w:rFonts w:hint="eastAsia" w:eastAsia="仿宋_GB2312"/>
                <w:lang w:val="en-US" w:eastAsia="zh-CN"/>
              </w:rPr>
            </w:pPr>
            <w:r>
              <w:rPr>
                <w:rFonts w:hint="eastAsia"/>
                <w:lang w:val="en-US" w:eastAsia="zh-CN"/>
              </w:rPr>
              <w:t>5</w:t>
            </w:r>
          </w:p>
        </w:tc>
        <w:tc>
          <w:tcPr>
            <w:tcW w:w="874" w:type="dxa"/>
            <w:shd w:val="clear" w:color="000000" w:fill="FFFFFF"/>
          </w:tcPr>
          <w:p>
            <w:pPr>
              <w:spacing w:line="600" w:lineRule="auto"/>
              <w:jc w:val="center"/>
              <w:rPr>
                <w:rFonts w:hint="eastAsia" w:eastAsia="仿宋_GB2312"/>
                <w:lang w:val="en-US" w:eastAsia="zh-CN"/>
              </w:rPr>
            </w:pPr>
            <w:r>
              <w:rPr>
                <w:rFonts w:hint="eastAsia"/>
                <w:lang w:val="en-US" w:eastAsia="zh-CN"/>
              </w:rPr>
              <w:t>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93" w:hRule="atLeast"/>
          <w:jc w:val="center"/>
        </w:trPr>
        <w:tc>
          <w:tcPr>
            <w:tcW w:w="757" w:type="dxa"/>
            <w:vMerge w:val="continue"/>
            <w:shd w:val="clear" w:color="auto" w:fill="FFFFFF"/>
            <w:vAlign w:val="center"/>
          </w:tcPr>
          <w:p>
            <w:pPr>
              <w:widowControl/>
              <w:spacing w:line="0" w:lineRule="atLeast"/>
              <w:jc w:val="center"/>
              <w:rPr>
                <w:rFonts w:ascii="宋体" w:hAnsi="宋体" w:cs="宋体"/>
                <w:color w:val="000000"/>
                <w:kern w:val="0"/>
                <w:sz w:val="22"/>
              </w:rPr>
            </w:pPr>
          </w:p>
        </w:tc>
        <w:tc>
          <w:tcPr>
            <w:tcW w:w="1478" w:type="dxa"/>
            <w:vMerge w:val="continue"/>
            <w:shd w:val="clear" w:color="auto" w:fill="FFFFFF"/>
            <w:vAlign w:val="center"/>
          </w:tcPr>
          <w:p>
            <w:pPr>
              <w:widowControl/>
              <w:spacing w:line="0" w:lineRule="atLeast"/>
              <w:jc w:val="center"/>
              <w:rPr>
                <w:rFonts w:ascii="宋体" w:hAnsi="宋体" w:cs="宋体"/>
                <w:color w:val="000000"/>
                <w:kern w:val="0"/>
                <w:sz w:val="22"/>
              </w:rPr>
            </w:pPr>
          </w:p>
        </w:tc>
        <w:tc>
          <w:tcPr>
            <w:tcW w:w="1875" w:type="dxa"/>
            <w:tcBorders>
              <w:right w:val="single" w:color="auto" w:sz="4" w:space="0"/>
            </w:tcBorders>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绩效指标</w:t>
            </w:r>
          </w:p>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明确性</w:t>
            </w:r>
          </w:p>
        </w:tc>
        <w:tc>
          <w:tcPr>
            <w:tcW w:w="3885" w:type="dxa"/>
            <w:tcBorders>
              <w:right w:val="single" w:color="auto" w:sz="4" w:space="0"/>
            </w:tcBorders>
            <w:shd w:val="clear" w:color="000000"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依据绩效目标设定的绩效指标是否清晰、细化、可衡量等，用以反映和考核项目绩效目标的明细化情况。</w:t>
            </w:r>
          </w:p>
        </w:tc>
        <w:tc>
          <w:tcPr>
            <w:tcW w:w="990" w:type="dxa"/>
            <w:tcBorders>
              <w:left w:val="single" w:color="auto" w:sz="4" w:space="0"/>
            </w:tcBorders>
            <w:shd w:val="clear" w:color="000000" w:fill="FFFFFF"/>
          </w:tcPr>
          <w:p>
            <w:pPr>
              <w:spacing w:line="600" w:lineRule="auto"/>
              <w:jc w:val="center"/>
              <w:rPr>
                <w:rFonts w:hint="eastAsia" w:eastAsia="仿宋_GB2312"/>
                <w:lang w:val="en-US" w:eastAsia="zh-CN"/>
              </w:rPr>
            </w:pPr>
            <w:r>
              <w:rPr>
                <w:rFonts w:hint="eastAsia"/>
                <w:lang w:val="en-US" w:eastAsia="zh-CN"/>
              </w:rPr>
              <w:t>5</w:t>
            </w:r>
          </w:p>
        </w:tc>
        <w:tc>
          <w:tcPr>
            <w:tcW w:w="874" w:type="dxa"/>
            <w:tcBorders>
              <w:bottom w:val="single" w:color="auto" w:sz="4" w:space="0"/>
            </w:tcBorders>
            <w:shd w:val="clear" w:color="000000" w:fill="FFFFFF"/>
          </w:tcPr>
          <w:p>
            <w:pPr>
              <w:spacing w:line="600" w:lineRule="auto"/>
              <w:jc w:val="center"/>
              <w:rPr>
                <w:rFonts w:hint="eastAsia" w:eastAsia="仿宋_GB2312"/>
                <w:lang w:val="en-US" w:eastAsia="zh-CN"/>
              </w:rPr>
            </w:pPr>
            <w:r>
              <w:rPr>
                <w:rFonts w:hint="eastAsia"/>
                <w:lang w:val="en-US" w:eastAsia="zh-CN"/>
              </w:rPr>
              <w:t>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601" w:hRule="atLeast"/>
          <w:jc w:val="center"/>
        </w:trPr>
        <w:tc>
          <w:tcPr>
            <w:tcW w:w="757" w:type="dxa"/>
            <w:vMerge w:val="continue"/>
            <w:shd w:val="clear" w:color="auto" w:fill="FFFFFF"/>
            <w:vAlign w:val="center"/>
          </w:tcPr>
          <w:p>
            <w:pPr>
              <w:spacing w:line="0" w:lineRule="atLeast"/>
              <w:jc w:val="center"/>
              <w:rPr>
                <w:rFonts w:ascii="宋体" w:hAnsi="宋体" w:cs="宋体"/>
                <w:color w:val="000000"/>
                <w:kern w:val="0"/>
                <w:sz w:val="22"/>
              </w:rPr>
            </w:pPr>
          </w:p>
        </w:tc>
        <w:tc>
          <w:tcPr>
            <w:tcW w:w="1478" w:type="dxa"/>
            <w:vMerge w:val="restart"/>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资金投入</w:t>
            </w:r>
          </w:p>
          <w:p>
            <w:pPr>
              <w:spacing w:line="0" w:lineRule="atLeast"/>
              <w:jc w:val="center"/>
              <w:rPr>
                <w:rFonts w:ascii="宋体" w:hAnsi="宋体" w:cs="宋体"/>
                <w:color w:val="000000"/>
                <w:kern w:val="0"/>
                <w:sz w:val="22"/>
              </w:rPr>
            </w:pPr>
            <w:r>
              <w:rPr>
                <w:rFonts w:hint="eastAsia" w:ascii="宋体" w:hAnsi="宋体" w:cs="宋体"/>
                <w:color w:val="000000"/>
                <w:kern w:val="0"/>
                <w:sz w:val="22"/>
              </w:rPr>
              <w:t>　</w:t>
            </w:r>
          </w:p>
        </w:tc>
        <w:tc>
          <w:tcPr>
            <w:tcW w:w="1875" w:type="dxa"/>
            <w:tcBorders>
              <w:right w:val="single" w:color="auto" w:sz="4" w:space="0"/>
            </w:tcBorders>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预算编制</w:t>
            </w:r>
          </w:p>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科学性</w:t>
            </w:r>
          </w:p>
        </w:tc>
        <w:tc>
          <w:tcPr>
            <w:tcW w:w="3885" w:type="dxa"/>
            <w:tcBorders>
              <w:right w:val="single" w:color="auto" w:sz="4" w:space="0"/>
            </w:tcBorders>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项目预算编制是否经过科学论证、有明确标准，资金额度与年度目标是否相适应，用以反映和考核项目预算编制的科学性、合理性情况。</w:t>
            </w:r>
          </w:p>
        </w:tc>
        <w:tc>
          <w:tcPr>
            <w:tcW w:w="990" w:type="dxa"/>
            <w:tcBorders>
              <w:left w:val="single" w:color="auto" w:sz="4" w:space="0"/>
            </w:tcBorders>
            <w:shd w:val="clear" w:color="auto" w:fill="FFFFFF"/>
          </w:tcPr>
          <w:p>
            <w:pPr>
              <w:spacing w:line="600" w:lineRule="auto"/>
              <w:jc w:val="center"/>
              <w:rPr>
                <w:rFonts w:hint="eastAsia" w:eastAsia="仿宋_GB2312"/>
                <w:lang w:val="en-US" w:eastAsia="zh-CN"/>
              </w:rPr>
            </w:pPr>
            <w:r>
              <w:rPr>
                <w:rFonts w:hint="eastAsia"/>
                <w:lang w:val="en-US" w:eastAsia="zh-CN"/>
              </w:rPr>
              <w:t>5</w:t>
            </w:r>
          </w:p>
        </w:tc>
        <w:tc>
          <w:tcPr>
            <w:tcW w:w="874" w:type="dxa"/>
            <w:tcBorders>
              <w:bottom w:val="single" w:color="auto" w:sz="4" w:space="0"/>
            </w:tcBorders>
            <w:shd w:val="clear" w:color="auto" w:fill="FFFFFF"/>
          </w:tcPr>
          <w:p>
            <w:pPr>
              <w:spacing w:line="600" w:lineRule="auto"/>
              <w:jc w:val="center"/>
              <w:rPr>
                <w:rFonts w:hint="eastAsia" w:eastAsia="仿宋_GB2312"/>
                <w:lang w:val="en-US" w:eastAsia="zh-CN"/>
              </w:rPr>
            </w:pPr>
            <w:r>
              <w:rPr>
                <w:rFonts w:hint="eastAsia"/>
                <w:lang w:val="en-US" w:eastAsia="zh-CN"/>
              </w:rPr>
              <w:t>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54" w:hRule="atLeast"/>
          <w:jc w:val="center"/>
        </w:trPr>
        <w:tc>
          <w:tcPr>
            <w:tcW w:w="757" w:type="dxa"/>
            <w:vMerge w:val="continue"/>
            <w:shd w:val="clear" w:color="auto" w:fill="FFFFFF"/>
            <w:vAlign w:val="center"/>
          </w:tcPr>
          <w:p>
            <w:pPr>
              <w:widowControl/>
              <w:spacing w:line="0" w:lineRule="atLeast"/>
              <w:jc w:val="center"/>
              <w:rPr>
                <w:rFonts w:ascii="宋体" w:hAnsi="宋体" w:cs="宋体"/>
                <w:color w:val="000000"/>
                <w:kern w:val="0"/>
                <w:sz w:val="22"/>
              </w:rPr>
            </w:pPr>
          </w:p>
        </w:tc>
        <w:tc>
          <w:tcPr>
            <w:tcW w:w="1478" w:type="dxa"/>
            <w:vMerge w:val="continue"/>
            <w:shd w:val="clear" w:color="auto" w:fill="FFFFFF"/>
            <w:vAlign w:val="center"/>
          </w:tcPr>
          <w:p>
            <w:pPr>
              <w:widowControl/>
              <w:spacing w:line="0" w:lineRule="atLeast"/>
              <w:jc w:val="center"/>
              <w:rPr>
                <w:rFonts w:ascii="宋体" w:hAnsi="宋体" w:cs="宋体"/>
                <w:color w:val="000000"/>
                <w:kern w:val="0"/>
                <w:sz w:val="22"/>
              </w:rPr>
            </w:pPr>
          </w:p>
        </w:tc>
        <w:tc>
          <w:tcPr>
            <w:tcW w:w="1875" w:type="dxa"/>
            <w:tcBorders>
              <w:right w:val="single" w:color="auto" w:sz="4" w:space="0"/>
            </w:tcBorders>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资金分配</w:t>
            </w:r>
          </w:p>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合理性</w:t>
            </w:r>
          </w:p>
        </w:tc>
        <w:tc>
          <w:tcPr>
            <w:tcW w:w="3885" w:type="dxa"/>
            <w:tcBorders>
              <w:right w:val="single" w:color="auto" w:sz="4" w:space="0"/>
            </w:tcBorders>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项目预算资金分配是否有测算依据，与补助单位或地方实际是否相适应，用以反映和考核项目预算资金分配的科学性、合理性情况。</w:t>
            </w:r>
          </w:p>
        </w:tc>
        <w:tc>
          <w:tcPr>
            <w:tcW w:w="990" w:type="dxa"/>
            <w:tcBorders>
              <w:left w:val="single" w:color="auto" w:sz="4" w:space="0"/>
            </w:tcBorders>
            <w:shd w:val="clear" w:color="auto" w:fill="FFFFFF"/>
          </w:tcPr>
          <w:p>
            <w:pPr>
              <w:spacing w:line="600" w:lineRule="auto"/>
              <w:jc w:val="center"/>
              <w:rPr>
                <w:rFonts w:hint="eastAsia" w:eastAsia="仿宋_GB2312"/>
                <w:lang w:val="en-US" w:eastAsia="zh-CN"/>
              </w:rPr>
            </w:pPr>
            <w:r>
              <w:rPr>
                <w:rFonts w:hint="eastAsia"/>
                <w:lang w:val="en-US" w:eastAsia="zh-CN"/>
              </w:rPr>
              <w:t>5</w:t>
            </w:r>
          </w:p>
        </w:tc>
        <w:tc>
          <w:tcPr>
            <w:tcW w:w="874" w:type="dxa"/>
            <w:shd w:val="clear" w:color="auto" w:fill="FFFFFF"/>
          </w:tcPr>
          <w:p>
            <w:pPr>
              <w:spacing w:line="600" w:lineRule="auto"/>
              <w:jc w:val="center"/>
              <w:rPr>
                <w:rFonts w:hint="eastAsia" w:eastAsia="仿宋_GB2312"/>
                <w:lang w:val="en-US" w:eastAsia="zh-CN"/>
              </w:rPr>
            </w:pPr>
            <w:r>
              <w:rPr>
                <w:rFonts w:hint="eastAsia"/>
                <w:lang w:val="en-US" w:eastAsia="zh-CN"/>
              </w:rPr>
              <w:t>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48" w:hRule="atLeast"/>
          <w:jc w:val="center"/>
        </w:trPr>
        <w:tc>
          <w:tcPr>
            <w:tcW w:w="757" w:type="dxa"/>
            <w:vMerge w:val="restart"/>
            <w:shd w:val="clear" w:color="auto" w:fill="FFFFFF"/>
            <w:vAlign w:val="center"/>
          </w:tcPr>
          <w:p>
            <w:pPr>
              <w:spacing w:line="0" w:lineRule="atLeast"/>
              <w:jc w:val="center"/>
              <w:rPr>
                <w:rFonts w:ascii="宋体" w:hAnsi="宋体" w:cs="宋体"/>
                <w:color w:val="000000"/>
                <w:kern w:val="0"/>
                <w:sz w:val="22"/>
              </w:rPr>
            </w:pPr>
            <w:r>
              <w:rPr>
                <w:rFonts w:hint="eastAsia" w:ascii="宋体" w:hAnsi="宋体" w:cs="宋体"/>
                <w:color w:val="000000"/>
                <w:kern w:val="0"/>
                <w:sz w:val="22"/>
              </w:rPr>
              <w:t>过程</w:t>
            </w:r>
          </w:p>
        </w:tc>
        <w:tc>
          <w:tcPr>
            <w:tcW w:w="1478" w:type="dxa"/>
            <w:vMerge w:val="restart"/>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资金管理</w:t>
            </w:r>
          </w:p>
        </w:tc>
        <w:tc>
          <w:tcPr>
            <w:tcW w:w="1875" w:type="dxa"/>
            <w:tcBorders>
              <w:right w:val="single" w:color="auto" w:sz="4" w:space="0"/>
            </w:tcBorders>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资金到位率</w:t>
            </w:r>
          </w:p>
        </w:tc>
        <w:tc>
          <w:tcPr>
            <w:tcW w:w="3885" w:type="dxa"/>
            <w:tcBorders>
              <w:right w:val="single" w:color="auto" w:sz="4" w:space="0"/>
            </w:tcBorders>
            <w:shd w:val="clear" w:color="000000"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实际到位资金与预算资金的比率，用以反映和考核资金落实情况对项目实施的总体保障程度。</w:t>
            </w:r>
          </w:p>
        </w:tc>
        <w:tc>
          <w:tcPr>
            <w:tcW w:w="990" w:type="dxa"/>
            <w:tcBorders>
              <w:left w:val="single" w:color="auto" w:sz="4" w:space="0"/>
            </w:tcBorders>
            <w:shd w:val="clear" w:color="000000" w:fill="FFFFFF"/>
          </w:tcPr>
          <w:p>
            <w:pPr>
              <w:spacing w:line="600" w:lineRule="auto"/>
              <w:jc w:val="center"/>
              <w:rPr>
                <w:rFonts w:hint="eastAsia" w:eastAsia="仿宋_GB2312"/>
                <w:lang w:val="en-US" w:eastAsia="zh-CN"/>
              </w:rPr>
            </w:pPr>
            <w:r>
              <w:rPr>
                <w:rFonts w:hint="eastAsia"/>
                <w:lang w:val="en-US" w:eastAsia="zh-CN"/>
              </w:rPr>
              <w:t>5</w:t>
            </w:r>
          </w:p>
        </w:tc>
        <w:tc>
          <w:tcPr>
            <w:tcW w:w="874" w:type="dxa"/>
            <w:tcBorders>
              <w:bottom w:val="single" w:color="auto" w:sz="4" w:space="0"/>
            </w:tcBorders>
            <w:shd w:val="clear" w:color="000000" w:fill="FFFFFF"/>
          </w:tcPr>
          <w:p>
            <w:pPr>
              <w:spacing w:line="600" w:lineRule="auto"/>
              <w:jc w:val="center"/>
              <w:rPr>
                <w:rFonts w:hint="eastAsia" w:eastAsia="仿宋_GB2312"/>
                <w:lang w:val="en-US" w:eastAsia="zh-CN"/>
              </w:rPr>
            </w:pPr>
            <w:r>
              <w:rPr>
                <w:rFonts w:hint="eastAsia"/>
                <w:lang w:val="en-US" w:eastAsia="zh-CN"/>
              </w:rPr>
              <w:t>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682" w:hRule="atLeast"/>
          <w:jc w:val="center"/>
        </w:trPr>
        <w:tc>
          <w:tcPr>
            <w:tcW w:w="757" w:type="dxa"/>
            <w:vMerge w:val="continue"/>
            <w:shd w:val="clear" w:color="auto" w:fill="FFFFFF"/>
            <w:vAlign w:val="center"/>
          </w:tcPr>
          <w:p>
            <w:pPr>
              <w:spacing w:line="0" w:lineRule="atLeast"/>
              <w:jc w:val="center"/>
              <w:rPr>
                <w:rFonts w:ascii="宋体" w:hAnsi="宋体" w:cs="宋体"/>
                <w:color w:val="000000"/>
                <w:kern w:val="0"/>
                <w:sz w:val="22"/>
              </w:rPr>
            </w:pPr>
          </w:p>
        </w:tc>
        <w:tc>
          <w:tcPr>
            <w:tcW w:w="1478" w:type="dxa"/>
            <w:vMerge w:val="continue"/>
            <w:shd w:val="clear" w:color="auto" w:fill="FFFFFF"/>
            <w:vAlign w:val="center"/>
          </w:tcPr>
          <w:p>
            <w:pPr>
              <w:spacing w:line="0" w:lineRule="atLeast"/>
              <w:jc w:val="center"/>
              <w:rPr>
                <w:rFonts w:ascii="宋体" w:hAnsi="宋体" w:cs="宋体"/>
                <w:color w:val="000000"/>
                <w:kern w:val="0"/>
                <w:sz w:val="22"/>
              </w:rPr>
            </w:pPr>
          </w:p>
        </w:tc>
        <w:tc>
          <w:tcPr>
            <w:tcW w:w="1875" w:type="dxa"/>
            <w:tcBorders>
              <w:right w:val="single" w:color="auto" w:sz="4" w:space="0"/>
            </w:tcBorders>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预算执行率</w:t>
            </w:r>
          </w:p>
        </w:tc>
        <w:tc>
          <w:tcPr>
            <w:tcW w:w="3885" w:type="dxa"/>
            <w:tcBorders>
              <w:right w:val="single" w:color="auto" w:sz="4" w:space="0"/>
            </w:tcBorders>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项目预算资金是否按照计划执行，用以反映或考核项目预算执行情况</w:t>
            </w:r>
          </w:p>
        </w:tc>
        <w:tc>
          <w:tcPr>
            <w:tcW w:w="990" w:type="dxa"/>
            <w:tcBorders>
              <w:left w:val="single" w:color="auto" w:sz="4" w:space="0"/>
            </w:tcBorders>
            <w:shd w:val="clear" w:color="auto" w:fill="FFFFFF"/>
          </w:tcPr>
          <w:p>
            <w:pPr>
              <w:spacing w:line="600" w:lineRule="auto"/>
              <w:jc w:val="center"/>
              <w:rPr>
                <w:rFonts w:hint="eastAsia" w:eastAsia="仿宋_GB2312"/>
                <w:lang w:val="en-US" w:eastAsia="zh-CN"/>
              </w:rPr>
            </w:pPr>
            <w:r>
              <w:rPr>
                <w:rFonts w:hint="eastAsia"/>
                <w:lang w:val="en-US" w:eastAsia="zh-CN"/>
              </w:rPr>
              <w:t>5</w:t>
            </w:r>
          </w:p>
        </w:tc>
        <w:tc>
          <w:tcPr>
            <w:tcW w:w="874" w:type="dxa"/>
            <w:tcBorders>
              <w:bottom w:val="single" w:color="auto" w:sz="4" w:space="0"/>
            </w:tcBorders>
            <w:shd w:val="clear" w:color="auto" w:fill="FFFFFF"/>
          </w:tcPr>
          <w:p>
            <w:pPr>
              <w:spacing w:line="600" w:lineRule="auto"/>
              <w:jc w:val="center"/>
              <w:rPr>
                <w:rFonts w:hint="default" w:eastAsia="仿宋_GB2312"/>
                <w:lang w:val="en-US" w:eastAsia="zh-CN"/>
              </w:rPr>
            </w:pPr>
            <w:r>
              <w:rPr>
                <w:rFonts w:hint="eastAsia"/>
                <w:lang w:val="en-US" w:eastAsia="zh-CN"/>
              </w:rPr>
              <w:t>4.57</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47" w:hRule="atLeast"/>
          <w:jc w:val="center"/>
        </w:trPr>
        <w:tc>
          <w:tcPr>
            <w:tcW w:w="757" w:type="dxa"/>
            <w:vMerge w:val="continue"/>
            <w:shd w:val="clear" w:color="auto" w:fill="FFFFFF"/>
            <w:vAlign w:val="center"/>
          </w:tcPr>
          <w:p>
            <w:pPr>
              <w:spacing w:line="0" w:lineRule="atLeast"/>
              <w:jc w:val="center"/>
              <w:rPr>
                <w:rFonts w:ascii="宋体" w:hAnsi="宋体" w:cs="宋体"/>
                <w:color w:val="000000"/>
                <w:kern w:val="0"/>
                <w:sz w:val="22"/>
              </w:rPr>
            </w:pPr>
          </w:p>
        </w:tc>
        <w:tc>
          <w:tcPr>
            <w:tcW w:w="1478" w:type="dxa"/>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资金管理</w:t>
            </w:r>
          </w:p>
        </w:tc>
        <w:tc>
          <w:tcPr>
            <w:tcW w:w="1875" w:type="dxa"/>
            <w:tcBorders>
              <w:right w:val="single" w:color="auto" w:sz="4" w:space="0"/>
            </w:tcBorders>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资金使用</w:t>
            </w:r>
          </w:p>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合规性</w:t>
            </w:r>
          </w:p>
        </w:tc>
        <w:tc>
          <w:tcPr>
            <w:tcW w:w="3885" w:type="dxa"/>
            <w:tcBorders>
              <w:right w:val="single" w:color="auto" w:sz="4" w:space="0"/>
            </w:tcBorders>
            <w:shd w:val="clear" w:color="000000"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项目资金使用是否符合相关的财务管理制度规定，用以反映和考核项目资金的规范运行情况。</w:t>
            </w:r>
          </w:p>
        </w:tc>
        <w:tc>
          <w:tcPr>
            <w:tcW w:w="990" w:type="dxa"/>
            <w:tcBorders>
              <w:left w:val="single" w:color="auto" w:sz="4" w:space="0"/>
            </w:tcBorders>
            <w:shd w:val="clear" w:color="000000" w:fill="FFFFFF"/>
          </w:tcPr>
          <w:p>
            <w:pPr>
              <w:spacing w:line="600" w:lineRule="auto"/>
              <w:jc w:val="center"/>
              <w:rPr>
                <w:rFonts w:hint="default" w:eastAsia="仿宋_GB2312"/>
                <w:lang w:val="en-US" w:eastAsia="zh-CN"/>
              </w:rPr>
            </w:pPr>
            <w:r>
              <w:rPr>
                <w:rFonts w:hint="eastAsia"/>
                <w:lang w:val="en-US" w:eastAsia="zh-CN"/>
              </w:rPr>
              <w:t>10</w:t>
            </w:r>
          </w:p>
        </w:tc>
        <w:tc>
          <w:tcPr>
            <w:tcW w:w="874" w:type="dxa"/>
            <w:tcBorders>
              <w:bottom w:val="single" w:color="auto" w:sz="4" w:space="0"/>
            </w:tcBorders>
            <w:shd w:val="clear" w:color="000000" w:fill="FFFFFF"/>
          </w:tcPr>
          <w:p>
            <w:pPr>
              <w:spacing w:line="600" w:lineRule="auto"/>
              <w:jc w:val="center"/>
              <w:rPr>
                <w:rFonts w:hint="default" w:eastAsia="仿宋_GB2312"/>
                <w:lang w:val="en-US" w:eastAsia="zh-CN"/>
              </w:rPr>
            </w:pPr>
            <w:r>
              <w:rPr>
                <w:rFonts w:hint="eastAsia"/>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86" w:hRule="atLeast"/>
          <w:jc w:val="center"/>
        </w:trPr>
        <w:tc>
          <w:tcPr>
            <w:tcW w:w="757" w:type="dxa"/>
            <w:vMerge w:val="continue"/>
            <w:shd w:val="clear" w:color="auto" w:fill="FFFFFF"/>
            <w:vAlign w:val="center"/>
          </w:tcPr>
          <w:p>
            <w:pPr>
              <w:spacing w:line="0" w:lineRule="atLeast"/>
              <w:jc w:val="center"/>
              <w:rPr>
                <w:rFonts w:ascii="宋体" w:hAnsi="宋体" w:cs="宋体"/>
                <w:color w:val="000000"/>
                <w:kern w:val="0"/>
                <w:sz w:val="22"/>
              </w:rPr>
            </w:pPr>
          </w:p>
        </w:tc>
        <w:tc>
          <w:tcPr>
            <w:tcW w:w="1478" w:type="dxa"/>
            <w:vMerge w:val="restart"/>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组织实施</w:t>
            </w:r>
          </w:p>
          <w:p>
            <w:pPr>
              <w:spacing w:line="0" w:lineRule="atLeast"/>
              <w:jc w:val="center"/>
              <w:rPr>
                <w:rFonts w:ascii="宋体" w:hAnsi="宋体" w:cs="宋体"/>
                <w:color w:val="000000"/>
                <w:kern w:val="0"/>
                <w:sz w:val="22"/>
              </w:rPr>
            </w:pPr>
            <w:r>
              <w:rPr>
                <w:rFonts w:hint="eastAsia" w:ascii="宋体" w:hAnsi="宋体" w:cs="宋体"/>
                <w:color w:val="000000"/>
                <w:kern w:val="0"/>
                <w:sz w:val="22"/>
              </w:rPr>
              <w:t>　</w:t>
            </w:r>
          </w:p>
        </w:tc>
        <w:tc>
          <w:tcPr>
            <w:tcW w:w="1875" w:type="dxa"/>
            <w:tcBorders>
              <w:right w:val="single" w:color="auto" w:sz="4" w:space="0"/>
            </w:tcBorders>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管理制度</w:t>
            </w:r>
          </w:p>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健全性</w:t>
            </w:r>
          </w:p>
        </w:tc>
        <w:tc>
          <w:tcPr>
            <w:tcW w:w="3885" w:type="dxa"/>
            <w:tcBorders>
              <w:right w:val="single" w:color="auto" w:sz="4" w:space="0"/>
            </w:tcBorders>
            <w:shd w:val="clear" w:color="000000"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项目实施单位的财务和业务管理制度是否健全，用以反映和考核财务和业务管理制度对项目顺利实施的保障情况。</w:t>
            </w:r>
          </w:p>
        </w:tc>
        <w:tc>
          <w:tcPr>
            <w:tcW w:w="990" w:type="dxa"/>
            <w:tcBorders>
              <w:left w:val="single" w:color="auto" w:sz="4" w:space="0"/>
            </w:tcBorders>
            <w:shd w:val="clear" w:color="000000" w:fill="FFFFFF"/>
          </w:tcPr>
          <w:p>
            <w:pPr>
              <w:spacing w:line="600" w:lineRule="auto"/>
              <w:jc w:val="center"/>
              <w:rPr>
                <w:rFonts w:hint="eastAsia" w:eastAsia="仿宋_GB2312"/>
                <w:lang w:val="en-US" w:eastAsia="zh-CN"/>
              </w:rPr>
            </w:pPr>
            <w:r>
              <w:rPr>
                <w:rFonts w:hint="eastAsia"/>
                <w:lang w:val="en-US" w:eastAsia="zh-CN"/>
              </w:rPr>
              <w:t>5</w:t>
            </w:r>
          </w:p>
        </w:tc>
        <w:tc>
          <w:tcPr>
            <w:tcW w:w="874" w:type="dxa"/>
            <w:tcBorders>
              <w:bottom w:val="single" w:color="auto" w:sz="4" w:space="0"/>
            </w:tcBorders>
            <w:shd w:val="clear" w:color="000000" w:fill="FFFFFF"/>
          </w:tcPr>
          <w:p>
            <w:pPr>
              <w:spacing w:line="600" w:lineRule="auto"/>
              <w:jc w:val="center"/>
              <w:rPr>
                <w:rFonts w:hint="eastAsia" w:eastAsia="仿宋_GB2312"/>
                <w:lang w:val="en-US" w:eastAsia="zh-CN"/>
              </w:rPr>
            </w:pPr>
            <w:r>
              <w:rPr>
                <w:rFonts w:hint="eastAsia"/>
                <w:lang w:val="en-US" w:eastAsia="zh-CN"/>
              </w:rPr>
              <w:t>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777" w:hRule="atLeast"/>
          <w:jc w:val="center"/>
        </w:trPr>
        <w:tc>
          <w:tcPr>
            <w:tcW w:w="757" w:type="dxa"/>
            <w:vMerge w:val="continue"/>
            <w:shd w:val="clear" w:color="auto" w:fill="FFFFFF"/>
            <w:vAlign w:val="center"/>
          </w:tcPr>
          <w:p>
            <w:pPr>
              <w:widowControl/>
              <w:spacing w:line="0" w:lineRule="atLeast"/>
              <w:jc w:val="center"/>
              <w:rPr>
                <w:rFonts w:ascii="宋体" w:hAnsi="宋体" w:cs="宋体"/>
                <w:color w:val="000000"/>
                <w:kern w:val="0"/>
                <w:sz w:val="22"/>
              </w:rPr>
            </w:pPr>
          </w:p>
        </w:tc>
        <w:tc>
          <w:tcPr>
            <w:tcW w:w="1478" w:type="dxa"/>
            <w:vMerge w:val="continue"/>
            <w:shd w:val="clear" w:color="auto" w:fill="FFFFFF"/>
            <w:vAlign w:val="center"/>
          </w:tcPr>
          <w:p>
            <w:pPr>
              <w:widowControl/>
              <w:spacing w:line="0" w:lineRule="atLeast"/>
              <w:jc w:val="center"/>
              <w:rPr>
                <w:rFonts w:ascii="宋体" w:hAnsi="宋体" w:cs="宋体"/>
                <w:color w:val="000000"/>
                <w:kern w:val="0"/>
                <w:sz w:val="22"/>
              </w:rPr>
            </w:pPr>
          </w:p>
        </w:tc>
        <w:tc>
          <w:tcPr>
            <w:tcW w:w="1875" w:type="dxa"/>
            <w:tcBorders>
              <w:right w:val="single" w:color="auto" w:sz="4" w:space="0"/>
            </w:tcBorders>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制度执行</w:t>
            </w:r>
          </w:p>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有效性</w:t>
            </w:r>
          </w:p>
        </w:tc>
        <w:tc>
          <w:tcPr>
            <w:tcW w:w="3885" w:type="dxa"/>
            <w:tcBorders>
              <w:right w:val="single" w:color="auto" w:sz="4" w:space="0"/>
            </w:tcBorders>
            <w:shd w:val="clear" w:color="000000"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项目实施是否符合相关管理规定，用以反映和考核相关管理制度的有效执行情况。</w:t>
            </w:r>
          </w:p>
        </w:tc>
        <w:tc>
          <w:tcPr>
            <w:tcW w:w="990" w:type="dxa"/>
            <w:tcBorders>
              <w:left w:val="single" w:color="auto" w:sz="4" w:space="0"/>
            </w:tcBorders>
            <w:shd w:val="clear" w:color="000000" w:fill="FFFFFF"/>
          </w:tcPr>
          <w:p>
            <w:pPr>
              <w:spacing w:line="600" w:lineRule="auto"/>
              <w:jc w:val="center"/>
              <w:rPr>
                <w:rFonts w:hint="eastAsia" w:eastAsia="仿宋_GB2312"/>
                <w:lang w:val="en-US" w:eastAsia="zh-CN"/>
              </w:rPr>
            </w:pPr>
            <w:r>
              <w:rPr>
                <w:rFonts w:hint="eastAsia"/>
                <w:lang w:val="en-US" w:eastAsia="zh-CN"/>
              </w:rPr>
              <w:t>5</w:t>
            </w:r>
          </w:p>
        </w:tc>
        <w:tc>
          <w:tcPr>
            <w:tcW w:w="874" w:type="dxa"/>
            <w:tcBorders>
              <w:bottom w:val="single" w:color="auto" w:sz="4" w:space="0"/>
            </w:tcBorders>
            <w:shd w:val="clear" w:color="000000" w:fill="FFFFFF"/>
          </w:tcPr>
          <w:p>
            <w:pPr>
              <w:spacing w:line="600" w:lineRule="auto"/>
              <w:jc w:val="center"/>
              <w:rPr>
                <w:rFonts w:hint="eastAsia" w:eastAsia="仿宋_GB2312"/>
                <w:lang w:val="en-US" w:eastAsia="zh-CN"/>
              </w:rPr>
            </w:pPr>
            <w:r>
              <w:rPr>
                <w:rFonts w:hint="eastAsia"/>
                <w:lang w:val="en-US" w:eastAsia="zh-CN"/>
              </w:rPr>
              <w:t>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36" w:hRule="atLeast"/>
          <w:jc w:val="center"/>
        </w:trPr>
        <w:tc>
          <w:tcPr>
            <w:tcW w:w="757" w:type="dxa"/>
            <w:vMerge w:val="restart"/>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产出</w:t>
            </w:r>
          </w:p>
        </w:tc>
        <w:tc>
          <w:tcPr>
            <w:tcW w:w="1478" w:type="dxa"/>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产出数量</w:t>
            </w:r>
          </w:p>
        </w:tc>
        <w:tc>
          <w:tcPr>
            <w:tcW w:w="1875" w:type="dxa"/>
            <w:tcBorders>
              <w:right w:val="single" w:color="auto" w:sz="4" w:space="0"/>
            </w:tcBorders>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实际完成率</w:t>
            </w:r>
          </w:p>
        </w:tc>
        <w:tc>
          <w:tcPr>
            <w:tcW w:w="3885" w:type="dxa"/>
            <w:tcBorders>
              <w:right w:val="single" w:color="auto" w:sz="4" w:space="0"/>
            </w:tcBorders>
            <w:shd w:val="clear" w:color="000000"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项目实施的实际产出数与计划产出数的比率，用以反映和考核项目产出数量目标的实现程度。</w:t>
            </w:r>
          </w:p>
        </w:tc>
        <w:tc>
          <w:tcPr>
            <w:tcW w:w="990" w:type="dxa"/>
            <w:tcBorders>
              <w:left w:val="single" w:color="auto" w:sz="4" w:space="0"/>
            </w:tcBorders>
            <w:shd w:val="clear" w:color="000000" w:fill="FFFFFF"/>
          </w:tcPr>
          <w:p>
            <w:pPr>
              <w:spacing w:line="600" w:lineRule="auto"/>
              <w:jc w:val="center"/>
              <w:rPr>
                <w:rFonts w:hint="default" w:eastAsia="仿宋_GB2312"/>
                <w:lang w:val="en-US" w:eastAsia="zh-CN"/>
              </w:rPr>
            </w:pPr>
            <w:r>
              <w:rPr>
                <w:rFonts w:hint="eastAsia"/>
                <w:lang w:val="en-US" w:eastAsia="zh-CN"/>
              </w:rPr>
              <w:t>10</w:t>
            </w:r>
          </w:p>
        </w:tc>
        <w:tc>
          <w:tcPr>
            <w:tcW w:w="874" w:type="dxa"/>
            <w:shd w:val="clear" w:color="000000" w:fill="FFFFFF"/>
          </w:tcPr>
          <w:p>
            <w:pPr>
              <w:spacing w:line="600" w:lineRule="auto"/>
              <w:jc w:val="center"/>
              <w:rPr>
                <w:rFonts w:hint="default" w:eastAsia="仿宋_GB2312"/>
                <w:lang w:val="en-US" w:eastAsia="zh-CN"/>
              </w:rPr>
            </w:pPr>
            <w:r>
              <w:rPr>
                <w:rFonts w:hint="eastAsia"/>
                <w:lang w:val="en-US" w:eastAsia="zh-CN"/>
              </w:rPr>
              <w:t>8.2</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44" w:hRule="atLeast"/>
          <w:jc w:val="center"/>
        </w:trPr>
        <w:tc>
          <w:tcPr>
            <w:tcW w:w="757" w:type="dxa"/>
            <w:vMerge w:val="continue"/>
            <w:shd w:val="clear" w:color="auto" w:fill="FFFFFF"/>
            <w:vAlign w:val="center"/>
          </w:tcPr>
          <w:p>
            <w:pPr>
              <w:widowControl/>
              <w:spacing w:line="0" w:lineRule="atLeast"/>
              <w:jc w:val="center"/>
              <w:rPr>
                <w:rFonts w:ascii="宋体" w:hAnsi="宋体" w:cs="宋体"/>
                <w:color w:val="000000"/>
                <w:kern w:val="0"/>
                <w:sz w:val="22"/>
              </w:rPr>
            </w:pPr>
          </w:p>
        </w:tc>
        <w:tc>
          <w:tcPr>
            <w:tcW w:w="1478" w:type="dxa"/>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产出质量</w:t>
            </w:r>
          </w:p>
        </w:tc>
        <w:tc>
          <w:tcPr>
            <w:tcW w:w="1875" w:type="dxa"/>
            <w:tcBorders>
              <w:right w:val="single" w:color="auto" w:sz="4" w:space="0"/>
            </w:tcBorders>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质量达标率</w:t>
            </w:r>
          </w:p>
        </w:tc>
        <w:tc>
          <w:tcPr>
            <w:tcW w:w="3885" w:type="dxa"/>
            <w:tcBorders>
              <w:right w:val="single" w:color="auto" w:sz="4" w:space="0"/>
            </w:tcBorders>
            <w:shd w:val="clear" w:color="000000"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项目完成的质量达标产出数与实际产出数的比率，用以反映和考核项目产出质量目标的实现程度。</w:t>
            </w:r>
          </w:p>
        </w:tc>
        <w:tc>
          <w:tcPr>
            <w:tcW w:w="990" w:type="dxa"/>
            <w:tcBorders>
              <w:left w:val="single" w:color="auto" w:sz="4" w:space="0"/>
            </w:tcBorders>
            <w:shd w:val="clear" w:color="000000" w:fill="FFFFFF"/>
          </w:tcPr>
          <w:p>
            <w:pPr>
              <w:spacing w:line="600" w:lineRule="auto"/>
              <w:jc w:val="center"/>
              <w:rPr>
                <w:rFonts w:hint="default" w:eastAsia="仿宋_GB2312"/>
                <w:lang w:val="en-US" w:eastAsia="zh-CN"/>
              </w:rPr>
            </w:pPr>
            <w:r>
              <w:rPr>
                <w:rFonts w:hint="eastAsia"/>
                <w:lang w:val="en-US" w:eastAsia="zh-CN"/>
              </w:rPr>
              <w:t>10</w:t>
            </w:r>
          </w:p>
        </w:tc>
        <w:tc>
          <w:tcPr>
            <w:tcW w:w="874" w:type="dxa"/>
            <w:shd w:val="clear" w:color="000000" w:fill="FFFFFF"/>
          </w:tcPr>
          <w:p>
            <w:pPr>
              <w:spacing w:line="600" w:lineRule="auto"/>
              <w:jc w:val="center"/>
              <w:rPr>
                <w:rFonts w:hint="default" w:eastAsia="仿宋_GB2312"/>
                <w:lang w:val="en-US" w:eastAsia="zh-CN"/>
              </w:rPr>
            </w:pPr>
            <w:r>
              <w:rPr>
                <w:rFonts w:hint="eastAsia"/>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09" w:hRule="atLeast"/>
          <w:jc w:val="center"/>
        </w:trPr>
        <w:tc>
          <w:tcPr>
            <w:tcW w:w="757" w:type="dxa"/>
            <w:vMerge w:val="continue"/>
            <w:shd w:val="clear" w:color="auto" w:fill="FFFFFF"/>
            <w:vAlign w:val="center"/>
          </w:tcPr>
          <w:p>
            <w:pPr>
              <w:spacing w:line="0" w:lineRule="atLeast"/>
              <w:jc w:val="center"/>
              <w:rPr>
                <w:rFonts w:ascii="宋体" w:hAnsi="宋体" w:cs="宋体"/>
                <w:color w:val="000000"/>
                <w:kern w:val="0"/>
                <w:sz w:val="22"/>
              </w:rPr>
            </w:pPr>
          </w:p>
        </w:tc>
        <w:tc>
          <w:tcPr>
            <w:tcW w:w="1478" w:type="dxa"/>
            <w:shd w:val="clear" w:color="auto" w:fill="FFFFFF"/>
            <w:vAlign w:val="center"/>
          </w:tcPr>
          <w:p>
            <w:pPr>
              <w:spacing w:line="0" w:lineRule="atLeast"/>
              <w:jc w:val="center"/>
              <w:rPr>
                <w:rFonts w:ascii="宋体" w:hAnsi="宋体" w:cs="宋体"/>
                <w:color w:val="000000"/>
                <w:kern w:val="0"/>
                <w:sz w:val="22"/>
              </w:rPr>
            </w:pPr>
            <w:r>
              <w:rPr>
                <w:rFonts w:hint="eastAsia" w:ascii="宋体" w:hAnsi="宋体" w:cs="宋体"/>
                <w:color w:val="000000"/>
                <w:kern w:val="0"/>
                <w:sz w:val="22"/>
              </w:rPr>
              <w:t>产出时效</w:t>
            </w:r>
          </w:p>
        </w:tc>
        <w:tc>
          <w:tcPr>
            <w:tcW w:w="1875" w:type="dxa"/>
            <w:tcBorders>
              <w:right w:val="single" w:color="auto" w:sz="4" w:space="0"/>
            </w:tcBorders>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完成及时性</w:t>
            </w:r>
          </w:p>
        </w:tc>
        <w:tc>
          <w:tcPr>
            <w:tcW w:w="3885" w:type="dxa"/>
            <w:tcBorders>
              <w:right w:val="single" w:color="auto" w:sz="4" w:space="0"/>
            </w:tcBorders>
            <w:shd w:val="clear" w:color="000000"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项目实际完成时间与计划完成时间的比较，用以反映和考核项目产出时效目标的实现程度。</w:t>
            </w:r>
          </w:p>
        </w:tc>
        <w:tc>
          <w:tcPr>
            <w:tcW w:w="990" w:type="dxa"/>
            <w:tcBorders>
              <w:left w:val="single" w:color="auto" w:sz="4" w:space="0"/>
            </w:tcBorders>
            <w:shd w:val="clear" w:color="000000" w:fill="FFFFFF"/>
          </w:tcPr>
          <w:p>
            <w:pPr>
              <w:spacing w:line="600" w:lineRule="auto"/>
              <w:jc w:val="center"/>
              <w:rPr>
                <w:rFonts w:hint="eastAsia" w:eastAsia="仿宋_GB2312"/>
                <w:lang w:val="en-US" w:eastAsia="zh-CN"/>
              </w:rPr>
            </w:pPr>
            <w:r>
              <w:rPr>
                <w:rFonts w:hint="eastAsia"/>
                <w:lang w:val="en-US" w:eastAsia="zh-CN"/>
              </w:rPr>
              <w:t>5</w:t>
            </w:r>
          </w:p>
        </w:tc>
        <w:tc>
          <w:tcPr>
            <w:tcW w:w="874" w:type="dxa"/>
            <w:shd w:val="clear" w:color="000000" w:fill="FFFFFF"/>
          </w:tcPr>
          <w:p>
            <w:pPr>
              <w:spacing w:line="600" w:lineRule="auto"/>
              <w:jc w:val="center"/>
              <w:rPr>
                <w:rFonts w:hint="default" w:eastAsia="仿宋_GB2312"/>
                <w:lang w:val="en-US" w:eastAsia="zh-CN"/>
              </w:rPr>
            </w:pPr>
            <w:r>
              <w:rPr>
                <w:rFonts w:hint="eastAsia"/>
                <w:lang w:val="en-US" w:eastAsia="zh-CN"/>
              </w:rPr>
              <w:t>4.1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16" w:hRule="atLeast"/>
          <w:jc w:val="center"/>
        </w:trPr>
        <w:tc>
          <w:tcPr>
            <w:tcW w:w="757" w:type="dxa"/>
            <w:vMerge w:val="continue"/>
            <w:shd w:val="clear" w:color="auto" w:fill="FFFFFF"/>
            <w:vAlign w:val="center"/>
          </w:tcPr>
          <w:p>
            <w:pPr>
              <w:widowControl/>
              <w:spacing w:line="0" w:lineRule="atLeast"/>
              <w:jc w:val="center"/>
              <w:rPr>
                <w:rFonts w:ascii="宋体" w:hAnsi="宋体" w:cs="宋体"/>
                <w:color w:val="000000"/>
                <w:kern w:val="0"/>
                <w:sz w:val="22"/>
              </w:rPr>
            </w:pPr>
          </w:p>
        </w:tc>
        <w:tc>
          <w:tcPr>
            <w:tcW w:w="1478" w:type="dxa"/>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产出成本</w:t>
            </w:r>
          </w:p>
        </w:tc>
        <w:tc>
          <w:tcPr>
            <w:tcW w:w="1875" w:type="dxa"/>
            <w:tcBorders>
              <w:right w:val="single" w:color="auto" w:sz="4" w:space="0"/>
            </w:tcBorders>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成本节约率</w:t>
            </w:r>
          </w:p>
        </w:tc>
        <w:tc>
          <w:tcPr>
            <w:tcW w:w="3885" w:type="dxa"/>
            <w:tcBorders>
              <w:right w:val="single" w:color="auto" w:sz="4" w:space="0"/>
            </w:tcBorders>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完成项目计划工作目标的实际节约成本与计划成本的比率，用以反映和考核项目的成本节约程度。</w:t>
            </w:r>
          </w:p>
        </w:tc>
        <w:tc>
          <w:tcPr>
            <w:tcW w:w="990" w:type="dxa"/>
            <w:tcBorders>
              <w:left w:val="single" w:color="auto" w:sz="4" w:space="0"/>
            </w:tcBorders>
            <w:shd w:val="clear" w:color="auto" w:fill="FFFFFF"/>
          </w:tcPr>
          <w:p>
            <w:pPr>
              <w:spacing w:line="600" w:lineRule="auto"/>
              <w:jc w:val="center"/>
              <w:rPr>
                <w:rFonts w:hint="eastAsia" w:eastAsia="仿宋_GB2312"/>
                <w:lang w:val="en-US" w:eastAsia="zh-CN"/>
              </w:rPr>
            </w:pPr>
            <w:r>
              <w:rPr>
                <w:rFonts w:hint="eastAsia"/>
                <w:lang w:val="en-US" w:eastAsia="zh-CN"/>
              </w:rPr>
              <w:t>5</w:t>
            </w:r>
          </w:p>
        </w:tc>
        <w:tc>
          <w:tcPr>
            <w:tcW w:w="874" w:type="dxa"/>
            <w:shd w:val="clear" w:color="auto" w:fill="FFFFFF"/>
          </w:tcPr>
          <w:p>
            <w:pPr>
              <w:spacing w:line="600" w:lineRule="auto"/>
              <w:jc w:val="center"/>
              <w:rPr>
                <w:rFonts w:hint="eastAsia" w:eastAsia="仿宋_GB2312"/>
                <w:lang w:val="en-US" w:eastAsia="zh-CN"/>
              </w:rPr>
            </w:pPr>
            <w:r>
              <w:rPr>
                <w:rFonts w:hint="eastAsia"/>
                <w:lang w:val="en-US" w:eastAsia="zh-CN"/>
              </w:rPr>
              <w:t>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05" w:hRule="atLeast"/>
          <w:jc w:val="center"/>
        </w:trPr>
        <w:tc>
          <w:tcPr>
            <w:tcW w:w="757" w:type="dxa"/>
            <w:vMerge w:val="restart"/>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效益　</w:t>
            </w:r>
          </w:p>
        </w:tc>
        <w:tc>
          <w:tcPr>
            <w:tcW w:w="1478" w:type="dxa"/>
            <w:vMerge w:val="restart"/>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项目效益　</w:t>
            </w:r>
          </w:p>
        </w:tc>
        <w:tc>
          <w:tcPr>
            <w:tcW w:w="1875" w:type="dxa"/>
            <w:tcBorders>
              <w:right w:val="single" w:color="auto" w:sz="4" w:space="0"/>
            </w:tcBorders>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实施效益</w:t>
            </w:r>
          </w:p>
        </w:tc>
        <w:tc>
          <w:tcPr>
            <w:tcW w:w="3885" w:type="dxa"/>
            <w:tcBorders>
              <w:right w:val="single" w:color="auto" w:sz="4" w:space="0"/>
            </w:tcBorders>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项目实施所产生的效益。</w:t>
            </w:r>
          </w:p>
        </w:tc>
        <w:tc>
          <w:tcPr>
            <w:tcW w:w="990" w:type="dxa"/>
            <w:tcBorders>
              <w:left w:val="single" w:color="auto" w:sz="4" w:space="0"/>
            </w:tcBorders>
            <w:shd w:val="clear" w:color="auto" w:fill="FFFFFF"/>
          </w:tcPr>
          <w:p>
            <w:pPr>
              <w:spacing w:line="600" w:lineRule="auto"/>
              <w:jc w:val="center"/>
              <w:rPr>
                <w:rFonts w:hint="eastAsia" w:eastAsia="仿宋_GB2312"/>
                <w:lang w:val="en-US" w:eastAsia="zh-CN"/>
              </w:rPr>
            </w:pPr>
            <w:r>
              <w:rPr>
                <w:rFonts w:hint="eastAsia"/>
                <w:lang w:val="en-US" w:eastAsia="zh-CN"/>
              </w:rPr>
              <w:t>5</w:t>
            </w:r>
          </w:p>
        </w:tc>
        <w:tc>
          <w:tcPr>
            <w:tcW w:w="874" w:type="dxa"/>
            <w:shd w:val="clear" w:color="auto" w:fill="FFFFFF"/>
          </w:tcPr>
          <w:p>
            <w:pPr>
              <w:spacing w:line="600" w:lineRule="auto"/>
              <w:jc w:val="center"/>
              <w:rPr>
                <w:rFonts w:hint="eastAsia" w:eastAsia="仿宋_GB2312"/>
                <w:lang w:val="en-US" w:eastAsia="zh-CN"/>
              </w:rPr>
            </w:pPr>
            <w:r>
              <w:rPr>
                <w:rFonts w:hint="eastAsia"/>
                <w:lang w:val="en-US" w:eastAsia="zh-CN"/>
              </w:rPr>
              <w:t>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20" w:hRule="atLeast"/>
          <w:jc w:val="center"/>
        </w:trPr>
        <w:tc>
          <w:tcPr>
            <w:tcW w:w="757" w:type="dxa"/>
            <w:vMerge w:val="continue"/>
            <w:shd w:val="clear" w:color="auto" w:fill="FFFFFF"/>
            <w:vAlign w:val="center"/>
          </w:tcPr>
          <w:p>
            <w:pPr>
              <w:widowControl/>
              <w:spacing w:line="0" w:lineRule="atLeast"/>
              <w:jc w:val="center"/>
              <w:rPr>
                <w:rFonts w:ascii="宋体" w:hAnsi="宋体" w:cs="宋体"/>
                <w:color w:val="000000"/>
                <w:kern w:val="0"/>
                <w:sz w:val="22"/>
              </w:rPr>
            </w:pPr>
          </w:p>
        </w:tc>
        <w:tc>
          <w:tcPr>
            <w:tcW w:w="1478" w:type="dxa"/>
            <w:vMerge w:val="continue"/>
            <w:shd w:val="clear" w:color="auto" w:fill="FFFFFF"/>
            <w:vAlign w:val="center"/>
          </w:tcPr>
          <w:p>
            <w:pPr>
              <w:widowControl/>
              <w:spacing w:line="0" w:lineRule="atLeast"/>
              <w:jc w:val="center"/>
              <w:rPr>
                <w:rFonts w:ascii="宋体" w:hAnsi="宋体" w:cs="宋体"/>
                <w:color w:val="000000"/>
                <w:kern w:val="0"/>
                <w:sz w:val="22"/>
              </w:rPr>
            </w:pPr>
          </w:p>
        </w:tc>
        <w:tc>
          <w:tcPr>
            <w:tcW w:w="1875" w:type="dxa"/>
            <w:tcBorders>
              <w:right w:val="single" w:color="auto" w:sz="4" w:space="0"/>
            </w:tcBorders>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满意度</w:t>
            </w:r>
          </w:p>
        </w:tc>
        <w:tc>
          <w:tcPr>
            <w:tcW w:w="3885" w:type="dxa"/>
            <w:tcBorders>
              <w:right w:val="single" w:color="auto" w:sz="4" w:space="0"/>
            </w:tcBorders>
            <w:shd w:val="clear" w:color="000000"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社会公众或服务对象对项目实施效果的满意程度。</w:t>
            </w:r>
          </w:p>
        </w:tc>
        <w:tc>
          <w:tcPr>
            <w:tcW w:w="990" w:type="dxa"/>
            <w:tcBorders>
              <w:left w:val="single" w:color="auto" w:sz="4" w:space="0"/>
            </w:tcBorders>
            <w:shd w:val="clear" w:color="000000" w:fill="FFFFFF"/>
          </w:tcPr>
          <w:p>
            <w:pPr>
              <w:spacing w:line="600" w:lineRule="auto"/>
              <w:jc w:val="center"/>
              <w:rPr>
                <w:rFonts w:hint="eastAsia" w:eastAsia="仿宋_GB2312"/>
                <w:lang w:val="en-US" w:eastAsia="zh-CN"/>
              </w:rPr>
            </w:pPr>
            <w:r>
              <w:rPr>
                <w:rFonts w:hint="eastAsia"/>
                <w:lang w:val="en-US" w:eastAsia="zh-CN"/>
              </w:rPr>
              <w:t>5</w:t>
            </w:r>
          </w:p>
        </w:tc>
        <w:tc>
          <w:tcPr>
            <w:tcW w:w="874" w:type="dxa"/>
            <w:shd w:val="clear" w:color="000000" w:fill="FFFFFF"/>
          </w:tcPr>
          <w:p>
            <w:pPr>
              <w:spacing w:line="600" w:lineRule="auto"/>
              <w:jc w:val="center"/>
              <w:rPr>
                <w:rFonts w:hint="default" w:eastAsia="仿宋_GB2312"/>
                <w:lang w:val="en-US" w:eastAsia="zh-CN"/>
              </w:rPr>
            </w:pPr>
            <w:r>
              <w:rPr>
                <w:rFonts w:hint="eastAsia"/>
                <w:lang w:val="en-US" w:eastAsia="zh-CN"/>
              </w:rPr>
              <w:t>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02" w:hRule="atLeast"/>
          <w:jc w:val="center"/>
        </w:trPr>
        <w:tc>
          <w:tcPr>
            <w:tcW w:w="4110" w:type="dxa"/>
            <w:gridSpan w:val="3"/>
            <w:tcBorders>
              <w:right w:val="single" w:color="auto" w:sz="4" w:space="0"/>
            </w:tcBorders>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b/>
                <w:bCs/>
                <w:color w:val="000000"/>
                <w:kern w:val="0"/>
                <w:sz w:val="22"/>
              </w:rPr>
              <w:t>总分</w:t>
            </w:r>
          </w:p>
        </w:tc>
        <w:tc>
          <w:tcPr>
            <w:tcW w:w="3885" w:type="dxa"/>
            <w:tcBorders>
              <w:right w:val="single" w:color="auto" w:sz="4" w:space="0"/>
            </w:tcBorders>
            <w:shd w:val="clear" w:color="auto" w:fill="FFFFFF"/>
          </w:tcPr>
          <w:p>
            <w:pPr>
              <w:widowControl/>
              <w:spacing w:line="0" w:lineRule="atLeast"/>
              <w:jc w:val="center"/>
              <w:rPr>
                <w:rFonts w:ascii="宋体" w:hAnsi="宋体" w:cs="宋体"/>
                <w:color w:val="000000"/>
                <w:kern w:val="0"/>
                <w:sz w:val="22"/>
              </w:rPr>
            </w:pPr>
          </w:p>
        </w:tc>
        <w:tc>
          <w:tcPr>
            <w:tcW w:w="990" w:type="dxa"/>
            <w:tcBorders>
              <w:left w:val="single" w:color="auto" w:sz="4" w:space="0"/>
            </w:tcBorders>
            <w:shd w:val="clear" w:color="auto" w:fill="FFFFFF"/>
            <w:vAlign w:val="center"/>
          </w:tcPr>
          <w:p>
            <w:pPr>
              <w:widowControl/>
              <w:spacing w:line="0" w:lineRule="atLeast"/>
              <w:jc w:val="center"/>
              <w:rPr>
                <w:rFonts w:hint="default" w:ascii="宋体" w:hAnsi="宋体" w:eastAsia="仿宋_GB2312" w:cs="宋体"/>
                <w:color w:val="000000"/>
                <w:kern w:val="0"/>
                <w:sz w:val="22"/>
                <w:lang w:val="en-US" w:eastAsia="zh-CN"/>
              </w:rPr>
            </w:pPr>
            <w:r>
              <w:rPr>
                <w:rFonts w:hint="eastAsia" w:ascii="宋体" w:hAnsi="宋体" w:cs="宋体"/>
                <w:color w:val="000000"/>
                <w:kern w:val="0"/>
                <w:sz w:val="22"/>
                <w:lang w:val="en-US" w:eastAsia="zh-CN"/>
              </w:rPr>
              <w:t>100</w:t>
            </w:r>
          </w:p>
        </w:tc>
        <w:tc>
          <w:tcPr>
            <w:tcW w:w="874" w:type="dxa"/>
            <w:shd w:val="clear" w:color="auto" w:fill="FFFFFF"/>
            <w:vAlign w:val="center"/>
          </w:tcPr>
          <w:p>
            <w:pPr>
              <w:widowControl/>
              <w:spacing w:line="0" w:lineRule="atLeast"/>
              <w:jc w:val="center"/>
              <w:rPr>
                <w:rFonts w:hint="default" w:ascii="宋体" w:hAnsi="宋体" w:eastAsia="仿宋_GB2312" w:cs="宋体"/>
                <w:color w:val="000000"/>
                <w:kern w:val="0"/>
                <w:sz w:val="22"/>
                <w:lang w:val="en-US" w:eastAsia="zh-CN"/>
              </w:rPr>
            </w:pPr>
            <w:r>
              <w:rPr>
                <w:rFonts w:hint="eastAsia" w:ascii="宋体" w:hAnsi="宋体" w:cs="宋体"/>
                <w:color w:val="000000"/>
                <w:kern w:val="0"/>
                <w:sz w:val="22"/>
                <w:lang w:val="en-US" w:eastAsia="zh-CN"/>
              </w:rPr>
              <w:t>96.87</w:t>
            </w:r>
          </w:p>
        </w:tc>
      </w:tr>
    </w:tbl>
    <w:p>
      <w:pPr>
        <w:sectPr>
          <w:pgSz w:w="11906" w:h="16838"/>
          <w:pgMar w:top="1928" w:right="1531" w:bottom="1701" w:left="1531" w:header="737" w:footer="851" w:gutter="0"/>
          <w:cols w:space="720" w:num="1"/>
          <w:docGrid w:type="lines" w:linePitch="408" w:charSpace="0"/>
        </w:sectPr>
      </w:pPr>
    </w:p>
    <w:p>
      <w:pPr>
        <w:spacing w:line="360" w:lineRule="auto"/>
        <w:ind w:firstLine="600" w:firstLineChars="200"/>
        <w:jc w:val="left"/>
        <w:rPr>
          <w:bCs/>
          <w:color w:val="FF0000"/>
          <w:sz w:val="32"/>
          <w:szCs w:val="32"/>
        </w:rPr>
      </w:pPr>
      <w:r>
        <w:rPr>
          <w:rFonts w:hint="eastAsia"/>
        </w:rPr>
        <w:t>3、评价方法</w:t>
      </w:r>
    </w:p>
    <w:p>
      <w:pPr>
        <w:spacing w:line="360" w:lineRule="auto"/>
        <w:ind w:firstLine="640" w:firstLineChars="200"/>
        <w:rPr>
          <w:rFonts w:hint="default" w:eastAsia="仿宋_GB2312"/>
          <w:bCs/>
          <w:color w:val="auto"/>
          <w:sz w:val="32"/>
          <w:szCs w:val="32"/>
          <w:highlight w:val="none"/>
          <w:lang w:val="en-US" w:eastAsia="zh-CN"/>
        </w:rPr>
      </w:pPr>
      <w:r>
        <w:rPr>
          <w:rFonts w:hint="eastAsia"/>
          <w:bCs/>
          <w:color w:val="auto"/>
          <w:sz w:val="32"/>
          <w:szCs w:val="32"/>
          <w:highlight w:val="none"/>
        </w:rPr>
        <w:t>本次项目支出绩效自评采用最低成本法方法，原因是：</w:t>
      </w:r>
      <w:r>
        <w:rPr>
          <w:rFonts w:hint="eastAsia"/>
          <w:bCs/>
          <w:color w:val="auto"/>
          <w:sz w:val="32"/>
          <w:szCs w:val="32"/>
          <w:highlight w:val="none"/>
          <w:lang w:val="en-US" w:eastAsia="zh-CN"/>
        </w:rPr>
        <w:t>本项目建立健全预算安排与执行的监督机制，节约成本，提高实施建设项目与群众需求的契合度。</w:t>
      </w:r>
    </w:p>
    <w:p>
      <w:pPr>
        <w:spacing w:line="360" w:lineRule="auto"/>
        <w:rPr>
          <w:highlight w:val="yellow"/>
        </w:rPr>
      </w:pPr>
    </w:p>
    <w:p>
      <w:pPr>
        <w:spacing w:line="360" w:lineRule="auto"/>
        <w:ind w:firstLine="600" w:firstLineChars="200"/>
        <w:jc w:val="left"/>
        <w:rPr>
          <w:rFonts w:hint="eastAsia"/>
        </w:rPr>
      </w:pPr>
      <w:r>
        <w:rPr>
          <w:rFonts w:hint="eastAsia"/>
        </w:rPr>
        <w:t>4</w:t>
      </w:r>
      <w:r>
        <w:rPr>
          <w:rFonts w:hint="eastAsia"/>
          <w:lang w:val="en-US" w:eastAsia="zh-CN"/>
        </w:rPr>
        <w:t>.</w:t>
      </w:r>
      <w:r>
        <w:rPr>
          <w:rFonts w:hint="eastAsia"/>
        </w:rPr>
        <w:t>评价标准</w:t>
      </w:r>
    </w:p>
    <w:p>
      <w:pPr>
        <w:spacing w:line="360" w:lineRule="auto"/>
        <w:ind w:firstLine="640" w:firstLineChars="200"/>
        <w:rPr>
          <w:rFonts w:hint="eastAsia" w:eastAsia="仿宋_GB2312"/>
          <w:bCs/>
          <w:color w:val="auto"/>
          <w:sz w:val="32"/>
          <w:szCs w:val="32"/>
          <w:highlight w:val="none"/>
          <w:lang w:eastAsia="zh-CN"/>
        </w:rPr>
      </w:pPr>
      <w:r>
        <w:rPr>
          <w:rFonts w:hint="eastAsia"/>
          <w:bCs/>
          <w:color w:val="auto"/>
          <w:sz w:val="32"/>
          <w:szCs w:val="32"/>
          <w:highlight w:val="none"/>
        </w:rPr>
        <w:t>本次项目支出绩效自评采用计划标准，原因是：</w:t>
      </w:r>
      <w:r>
        <w:rPr>
          <w:rFonts w:hint="eastAsia"/>
          <w:bCs/>
          <w:color w:val="auto"/>
          <w:sz w:val="32"/>
          <w:szCs w:val="32"/>
          <w:highlight w:val="none"/>
          <w:lang w:eastAsia="zh-CN"/>
        </w:rPr>
        <w:t>项目的实施提前</w:t>
      </w:r>
      <w:r>
        <w:rPr>
          <w:rFonts w:hint="eastAsia"/>
          <w:bCs/>
          <w:color w:val="auto"/>
          <w:sz w:val="32"/>
          <w:szCs w:val="32"/>
          <w:highlight w:val="none"/>
        </w:rPr>
        <w:t>预先制定的目标、</w:t>
      </w:r>
      <w:r>
        <w:rPr>
          <w:rFonts w:hint="eastAsia"/>
          <w:bCs/>
          <w:color w:val="auto"/>
          <w:sz w:val="32"/>
          <w:szCs w:val="32"/>
          <w:highlight w:val="none"/>
          <w:lang w:val="en-US" w:eastAsia="zh-CN"/>
        </w:rPr>
        <w:t>根据三宫乡村级需求制定项目实施的</w:t>
      </w:r>
      <w:r>
        <w:rPr>
          <w:rFonts w:hint="eastAsia"/>
          <w:bCs/>
          <w:color w:val="auto"/>
          <w:sz w:val="32"/>
          <w:szCs w:val="32"/>
          <w:highlight w:val="none"/>
        </w:rPr>
        <w:t>计划、</w:t>
      </w:r>
      <w:r>
        <w:rPr>
          <w:rFonts w:hint="eastAsia"/>
          <w:bCs/>
          <w:color w:val="auto"/>
          <w:sz w:val="32"/>
          <w:szCs w:val="32"/>
          <w:highlight w:val="none"/>
          <w:lang w:val="en-US" w:eastAsia="zh-CN"/>
        </w:rPr>
        <w:t>根据计划建立健全</w:t>
      </w:r>
      <w:r>
        <w:rPr>
          <w:rFonts w:hint="eastAsia"/>
          <w:bCs/>
          <w:color w:val="auto"/>
          <w:sz w:val="32"/>
          <w:szCs w:val="32"/>
          <w:highlight w:val="none"/>
        </w:rPr>
        <w:t>预算</w:t>
      </w:r>
      <w:r>
        <w:rPr>
          <w:rFonts w:hint="eastAsia"/>
          <w:bCs/>
          <w:color w:val="auto"/>
          <w:sz w:val="32"/>
          <w:szCs w:val="32"/>
          <w:highlight w:val="none"/>
          <w:lang w:val="en-US" w:eastAsia="zh-CN"/>
        </w:rPr>
        <w:t>安排资金</w:t>
      </w:r>
      <w:r>
        <w:rPr>
          <w:rFonts w:hint="eastAsia"/>
          <w:bCs/>
          <w:color w:val="auto"/>
          <w:sz w:val="32"/>
          <w:szCs w:val="32"/>
          <w:highlight w:val="none"/>
        </w:rPr>
        <w:t>、作为评价标准</w:t>
      </w:r>
      <w:r>
        <w:rPr>
          <w:rFonts w:hint="eastAsia"/>
          <w:bCs/>
          <w:color w:val="auto"/>
          <w:sz w:val="32"/>
          <w:szCs w:val="32"/>
          <w:highlight w:val="none"/>
          <w:lang w:eastAsia="zh-CN"/>
        </w:rPr>
        <w:t>。</w:t>
      </w:r>
    </w:p>
    <w:p>
      <w:pPr>
        <w:pStyle w:val="5"/>
        <w:spacing w:line="360" w:lineRule="auto"/>
        <w:rPr>
          <w:rFonts w:hint="eastAsia" w:ascii="仿宋_GB2312" w:eastAsia="仿宋_GB2312"/>
          <w:b w:val="0"/>
          <w:bCs w:val="0"/>
        </w:rPr>
      </w:pPr>
      <w:bookmarkStart w:id="6" w:name="_Toc68703833"/>
      <w:r>
        <w:rPr>
          <w:rFonts w:hint="eastAsia" w:ascii="仿宋_GB2312" w:eastAsia="仿宋_GB2312"/>
          <w:b w:val="0"/>
          <w:bCs w:val="0"/>
        </w:rPr>
        <w:t>（三）绩效评价工作过程。</w:t>
      </w:r>
      <w:bookmarkEnd w:id="6"/>
    </w:p>
    <w:p>
      <w:pPr>
        <w:spacing w:line="360" w:lineRule="auto"/>
        <w:ind w:firstLine="600" w:firstLineChars="200"/>
        <w:jc w:val="left"/>
        <w:rPr>
          <w:rFonts w:hint="eastAsia"/>
        </w:rPr>
      </w:pPr>
      <w:r>
        <w:rPr>
          <w:rFonts w:hint="eastAsia"/>
        </w:rPr>
        <w:t>1</w:t>
      </w:r>
      <w:r>
        <w:rPr>
          <w:rFonts w:hint="eastAsia"/>
          <w:lang w:val="en-US" w:eastAsia="zh-CN"/>
        </w:rPr>
        <w:t>.</w:t>
      </w:r>
      <w:r>
        <w:rPr>
          <w:rFonts w:hint="eastAsia"/>
        </w:rPr>
        <w:t>前期准备：</w:t>
      </w:r>
    </w:p>
    <w:p>
      <w:pPr>
        <w:spacing w:line="360" w:lineRule="auto"/>
        <w:ind w:firstLine="600" w:firstLineChars="200"/>
        <w:rPr>
          <w:color w:val="auto"/>
        </w:rPr>
      </w:pPr>
      <w:r>
        <w:rPr>
          <w:rFonts w:hint="eastAsia"/>
          <w:color w:val="auto"/>
        </w:rPr>
        <w:t>2</w:t>
      </w:r>
      <w:r>
        <w:rPr>
          <w:color w:val="auto"/>
        </w:rPr>
        <w:t>02</w:t>
      </w:r>
      <w:r>
        <w:rPr>
          <w:rFonts w:hint="eastAsia"/>
          <w:color w:val="auto"/>
          <w:lang w:val="en-US" w:eastAsia="zh-CN"/>
        </w:rPr>
        <w:t>3</w:t>
      </w:r>
      <w:r>
        <w:rPr>
          <w:rFonts w:hint="eastAsia"/>
          <w:color w:val="auto"/>
        </w:rPr>
        <w:t>年</w:t>
      </w:r>
      <w:r>
        <w:rPr>
          <w:rFonts w:hint="eastAsia"/>
          <w:color w:val="auto"/>
          <w:lang w:val="en-US" w:eastAsia="zh-CN"/>
        </w:rPr>
        <w:t>3</w:t>
      </w:r>
      <w:r>
        <w:rPr>
          <w:rFonts w:hint="eastAsia"/>
          <w:color w:val="auto"/>
        </w:rPr>
        <w:t>月</w:t>
      </w:r>
      <w:r>
        <w:rPr>
          <w:rFonts w:hint="eastAsia"/>
          <w:color w:val="auto"/>
          <w:lang w:val="en-US" w:eastAsia="zh-CN"/>
        </w:rPr>
        <w:t>1</w:t>
      </w:r>
      <w:r>
        <w:rPr>
          <w:rFonts w:hint="eastAsia"/>
          <w:color w:val="auto"/>
        </w:rPr>
        <w:t>日，</w:t>
      </w:r>
      <w:r>
        <w:rPr>
          <w:rFonts w:hint="eastAsia" w:ascii="仿宋_GB2312"/>
          <w:color w:val="auto"/>
          <w:lang w:val="zh-CN"/>
        </w:rPr>
        <w:t>开始前期准备工作，评价组通过前期调研</w:t>
      </w:r>
      <w:r>
        <w:rPr>
          <w:rFonts w:hint="eastAsia"/>
          <w:color w:val="auto"/>
        </w:rPr>
        <w:t>确定绩效评价对象和范围，</w:t>
      </w:r>
      <w:r>
        <w:rPr>
          <w:rFonts w:hint="eastAsia" w:ascii="仿宋_GB2312"/>
          <w:color w:val="auto"/>
          <w:lang w:val="zh-CN"/>
        </w:rPr>
        <w:t>确定了评价的目的、方法以及评价的原则，根据项目的内容和特征制定了评价指标体系及评价标准以及评价实施方案，修正并确定所需资料清单，最终确定</w:t>
      </w:r>
      <w:r>
        <w:rPr>
          <w:rFonts w:hint="eastAsia"/>
          <w:color w:val="auto"/>
        </w:rPr>
        <w:t>绩效评价工作方案；</w:t>
      </w:r>
    </w:p>
    <w:p>
      <w:pPr>
        <w:spacing w:line="360" w:lineRule="auto"/>
        <w:ind w:firstLine="600" w:firstLineChars="200"/>
        <w:jc w:val="left"/>
        <w:rPr>
          <w:rFonts w:hint="eastAsia"/>
        </w:rPr>
      </w:pPr>
      <w:r>
        <w:rPr>
          <w:rFonts w:hint="eastAsia"/>
        </w:rPr>
        <w:t>2</w:t>
      </w:r>
      <w:r>
        <w:rPr>
          <w:rFonts w:hint="eastAsia"/>
          <w:lang w:val="en-US" w:eastAsia="zh-CN"/>
        </w:rPr>
        <w:t>.</w:t>
      </w:r>
      <w:r>
        <w:rPr>
          <w:rFonts w:hint="eastAsia"/>
        </w:rPr>
        <w:t>组织实施：</w:t>
      </w:r>
    </w:p>
    <w:p>
      <w:pPr>
        <w:spacing w:line="360" w:lineRule="auto"/>
        <w:ind w:firstLine="600" w:firstLineChars="200"/>
        <w:rPr>
          <w:color w:val="auto"/>
        </w:rPr>
      </w:pPr>
      <w:r>
        <w:rPr>
          <w:rFonts w:hint="eastAsia"/>
          <w:color w:val="auto"/>
        </w:rPr>
        <w:t>2</w:t>
      </w:r>
      <w:r>
        <w:rPr>
          <w:color w:val="auto"/>
        </w:rPr>
        <w:t>02</w:t>
      </w:r>
      <w:r>
        <w:rPr>
          <w:rFonts w:hint="eastAsia"/>
          <w:color w:val="auto"/>
          <w:lang w:val="en-US" w:eastAsia="zh-CN"/>
        </w:rPr>
        <w:t>3</w:t>
      </w:r>
      <w:r>
        <w:rPr>
          <w:rFonts w:hint="eastAsia"/>
          <w:color w:val="auto"/>
        </w:rPr>
        <w:t>年</w:t>
      </w:r>
      <w:r>
        <w:rPr>
          <w:rFonts w:hint="eastAsia"/>
          <w:color w:val="auto"/>
          <w:lang w:val="en-US" w:eastAsia="zh-CN"/>
        </w:rPr>
        <w:t>3</w:t>
      </w:r>
      <w:r>
        <w:rPr>
          <w:rFonts w:hint="eastAsia"/>
          <w:color w:val="auto"/>
        </w:rPr>
        <w:t>月</w:t>
      </w:r>
      <w:r>
        <w:rPr>
          <w:rFonts w:hint="eastAsia"/>
          <w:color w:val="auto"/>
          <w:lang w:val="en-US" w:eastAsia="zh-CN"/>
        </w:rPr>
        <w:t>5</w:t>
      </w:r>
      <w:r>
        <w:rPr>
          <w:rFonts w:hint="eastAsia"/>
          <w:color w:val="auto"/>
        </w:rPr>
        <w:t>日，</w:t>
      </w:r>
      <w:r>
        <w:rPr>
          <w:rFonts w:hint="eastAsia" w:ascii="仿宋_GB2312"/>
          <w:color w:val="auto"/>
        </w:rPr>
        <w:t>评价工作进入实施阶段，评价组</w:t>
      </w:r>
      <w:r>
        <w:rPr>
          <w:rFonts w:hint="eastAsia"/>
          <w:color w:val="auto"/>
        </w:rPr>
        <w:t>收集绩效评价相关数据资料，进行现场调研、座谈；并</w:t>
      </w:r>
      <w:r>
        <w:rPr>
          <w:rFonts w:hint="eastAsia" w:ascii="仿宋_GB2312"/>
          <w:color w:val="auto"/>
        </w:rPr>
        <w:t>与项目实施负责人沟通，了解资金的内容、操作流程、管理机制、资金使用方向等情况</w:t>
      </w:r>
      <w:r>
        <w:rPr>
          <w:rFonts w:hint="eastAsia"/>
          <w:color w:val="auto"/>
        </w:rPr>
        <w:t>，</w:t>
      </w:r>
      <w:r>
        <w:rPr>
          <w:color w:val="auto"/>
        </w:rPr>
        <w:t>分析</w:t>
      </w:r>
      <w:r>
        <w:rPr>
          <w:rFonts w:hint="eastAsia"/>
          <w:color w:val="auto"/>
        </w:rPr>
        <w:t>形成初步结论。</w:t>
      </w:r>
    </w:p>
    <w:p>
      <w:pPr>
        <w:spacing w:line="360" w:lineRule="auto"/>
        <w:ind w:firstLine="600" w:firstLineChars="200"/>
        <w:jc w:val="left"/>
        <w:rPr>
          <w:rFonts w:hint="eastAsia"/>
        </w:rPr>
      </w:pPr>
      <w:r>
        <w:rPr>
          <w:rFonts w:hint="eastAsia"/>
        </w:rPr>
        <w:t>3</w:t>
      </w:r>
      <w:r>
        <w:rPr>
          <w:rFonts w:hint="eastAsia"/>
          <w:lang w:val="en-US" w:eastAsia="zh-CN"/>
        </w:rPr>
        <w:t>.</w:t>
      </w:r>
      <w:r>
        <w:rPr>
          <w:rFonts w:hint="eastAsia"/>
        </w:rPr>
        <w:t>分析评价：</w:t>
      </w:r>
    </w:p>
    <w:p>
      <w:pPr>
        <w:spacing w:line="360" w:lineRule="auto"/>
        <w:ind w:firstLine="600" w:firstLineChars="200"/>
        <w:rPr>
          <w:rFonts w:hint="eastAsia"/>
          <w:color w:val="auto"/>
        </w:rPr>
      </w:pPr>
      <w:r>
        <w:rPr>
          <w:rFonts w:hint="eastAsia"/>
          <w:color w:val="auto"/>
        </w:rPr>
        <w:t>202</w:t>
      </w:r>
      <w:r>
        <w:rPr>
          <w:rFonts w:hint="eastAsia"/>
          <w:color w:val="auto"/>
          <w:lang w:val="en-US" w:eastAsia="zh-CN"/>
        </w:rPr>
        <w:t>3</w:t>
      </w:r>
      <w:r>
        <w:rPr>
          <w:rFonts w:hint="eastAsia"/>
          <w:color w:val="auto"/>
        </w:rPr>
        <w:t>年</w:t>
      </w:r>
      <w:r>
        <w:rPr>
          <w:rFonts w:hint="eastAsia"/>
          <w:color w:val="auto"/>
          <w:lang w:val="en-US" w:eastAsia="zh-CN"/>
        </w:rPr>
        <w:t>3</w:t>
      </w:r>
      <w:r>
        <w:rPr>
          <w:rFonts w:hint="eastAsia"/>
          <w:color w:val="auto"/>
        </w:rPr>
        <w:t>月</w:t>
      </w:r>
      <w:r>
        <w:rPr>
          <w:rFonts w:hint="eastAsia"/>
          <w:color w:val="auto"/>
          <w:lang w:val="en-US" w:eastAsia="zh-CN"/>
        </w:rPr>
        <w:t>10</w:t>
      </w:r>
      <w:r>
        <w:rPr>
          <w:rFonts w:hint="eastAsia"/>
          <w:color w:val="auto"/>
        </w:rPr>
        <w:t>日</w:t>
      </w:r>
      <w:r>
        <w:rPr>
          <w:rFonts w:hint="eastAsia"/>
          <w:color w:val="auto"/>
          <w:lang w:val="en-US" w:eastAsia="zh-CN"/>
        </w:rPr>
        <w:t>-3</w:t>
      </w:r>
      <w:r>
        <w:rPr>
          <w:rFonts w:hint="eastAsia"/>
          <w:color w:val="auto"/>
        </w:rPr>
        <w:t>月</w:t>
      </w:r>
      <w:r>
        <w:rPr>
          <w:rFonts w:hint="eastAsia"/>
          <w:color w:val="auto"/>
          <w:lang w:val="en-US" w:eastAsia="zh-CN"/>
        </w:rPr>
        <w:t>30</w:t>
      </w:r>
      <w:r>
        <w:rPr>
          <w:rFonts w:hint="eastAsia"/>
          <w:color w:val="auto"/>
        </w:rPr>
        <w:t>日，评价组按照绩效评价的原则和规范，对取得的资料进行审查核实，对采集的数据进行分析，按照绩效评价指标评分表逐项进行打分、分析，汇总各方评价结果，综合分析并形成评价结论。</w:t>
      </w:r>
    </w:p>
    <w:p>
      <w:pPr>
        <w:pStyle w:val="4"/>
        <w:spacing w:line="360" w:lineRule="auto"/>
        <w:rPr>
          <w:rFonts w:ascii="宋体" w:hAnsi="宋体" w:eastAsia="宋体"/>
          <w:sz w:val="32"/>
          <w:szCs w:val="32"/>
        </w:rPr>
      </w:pPr>
      <w:bookmarkStart w:id="7" w:name="_Toc68703834"/>
      <w:r>
        <w:rPr>
          <w:rFonts w:hint="eastAsia" w:ascii="宋体" w:hAnsi="宋体" w:eastAsia="宋体"/>
          <w:sz w:val="32"/>
          <w:szCs w:val="32"/>
        </w:rPr>
        <w:t>三、综合评价情况及评价结论</w:t>
      </w:r>
      <w:bookmarkEnd w:id="7"/>
    </w:p>
    <w:p>
      <w:pPr>
        <w:pStyle w:val="5"/>
        <w:spacing w:line="360" w:lineRule="auto"/>
        <w:rPr>
          <w:rFonts w:hint="eastAsia" w:ascii="仿宋_GB2312" w:eastAsia="仿宋_GB2312"/>
          <w:b w:val="0"/>
          <w:bCs w:val="0"/>
        </w:rPr>
      </w:pPr>
      <w:bookmarkStart w:id="8" w:name="_Toc68703835"/>
      <w:r>
        <w:rPr>
          <w:rFonts w:hint="eastAsia" w:ascii="仿宋_GB2312" w:eastAsia="仿宋_GB2312"/>
          <w:b w:val="0"/>
          <w:bCs w:val="0"/>
        </w:rPr>
        <w:t>（一）综合评价情况</w:t>
      </w:r>
      <w:bookmarkEnd w:id="8"/>
    </w:p>
    <w:p>
      <w:pPr>
        <w:spacing w:line="360" w:lineRule="auto"/>
        <w:ind w:firstLine="600" w:firstLineChars="200"/>
        <w:rPr>
          <w:color w:val="auto"/>
        </w:rPr>
      </w:pPr>
      <w:r>
        <w:rPr>
          <w:rFonts w:hint="eastAsia"/>
          <w:color w:val="auto"/>
        </w:rPr>
        <w:t>本项目严格按照</w:t>
      </w:r>
      <w:r>
        <w:rPr>
          <w:rFonts w:hint="eastAsia" w:ascii="仿宋_GB2312"/>
          <w:bCs/>
          <w:color w:val="auto"/>
          <w:kern w:val="0"/>
          <w:sz w:val="32"/>
          <w:szCs w:val="32"/>
        </w:rPr>
        <w:t>科学公正、统筹兼顾、激励约束、公开透明的</w:t>
      </w:r>
      <w:r>
        <w:rPr>
          <w:rFonts w:hint="eastAsia"/>
          <w:color w:val="auto"/>
        </w:rPr>
        <w:t>绩效评价原则，采用</w:t>
      </w:r>
      <w:r>
        <w:rPr>
          <w:rFonts w:hint="eastAsia"/>
          <w:bCs/>
          <w:color w:val="auto"/>
          <w:sz w:val="32"/>
          <w:szCs w:val="32"/>
        </w:rPr>
        <w:t>最低成本法</w:t>
      </w:r>
      <w:r>
        <w:rPr>
          <w:rFonts w:hint="eastAsia"/>
          <w:color w:val="auto"/>
        </w:rPr>
        <w:t>，坚持</w:t>
      </w:r>
      <w:r>
        <w:rPr>
          <w:rFonts w:hint="eastAsia"/>
          <w:bCs/>
          <w:color w:val="auto"/>
          <w:sz w:val="32"/>
          <w:szCs w:val="32"/>
        </w:rPr>
        <w:t>计划标准</w:t>
      </w:r>
      <w:r>
        <w:rPr>
          <w:rFonts w:hint="eastAsia"/>
          <w:color w:val="auto"/>
        </w:rPr>
        <w:t>对本项目的立项、绩效目标、资金投入、资金管理、组织实施、产出数量、产出质量、产出时效、产出成本、项目效益进行了综合评价。</w:t>
      </w:r>
    </w:p>
    <w:p>
      <w:pPr>
        <w:spacing w:line="360" w:lineRule="auto"/>
        <w:ind w:firstLine="600" w:firstLineChars="200"/>
        <w:jc w:val="center"/>
        <w:rPr>
          <w:color w:val="auto"/>
        </w:rPr>
      </w:pPr>
      <w:r>
        <w:rPr>
          <w:rFonts w:hint="eastAsia"/>
          <w:color w:val="auto"/>
        </w:rPr>
        <w:t>农村综合改革转移支付项目评价得分情况</w:t>
      </w:r>
    </w:p>
    <w:tbl>
      <w:tblPr>
        <w:tblStyle w:val="10"/>
        <w:tblW w:w="7583" w:type="dxa"/>
        <w:jc w:val="center"/>
        <w:tblLayout w:type="fixed"/>
        <w:tblCellMar>
          <w:top w:w="0" w:type="dxa"/>
          <w:left w:w="108" w:type="dxa"/>
          <w:bottom w:w="0" w:type="dxa"/>
          <w:right w:w="108" w:type="dxa"/>
        </w:tblCellMar>
      </w:tblPr>
      <w:tblGrid>
        <w:gridCol w:w="3137"/>
        <w:gridCol w:w="2168"/>
        <w:gridCol w:w="2278"/>
      </w:tblGrid>
      <w:tr>
        <w:tblPrEx>
          <w:tblCellMar>
            <w:top w:w="0" w:type="dxa"/>
            <w:left w:w="108" w:type="dxa"/>
            <w:bottom w:w="0" w:type="dxa"/>
            <w:right w:w="108" w:type="dxa"/>
          </w:tblCellMar>
        </w:tblPrEx>
        <w:trPr>
          <w:trHeight w:val="90" w:hRule="atLeast"/>
          <w:tblHeader/>
          <w:jc w:val="center"/>
        </w:trPr>
        <w:tc>
          <w:tcPr>
            <w:tcW w:w="3137" w:type="dxa"/>
            <w:tcBorders>
              <w:top w:val="single" w:color="auto" w:sz="4" w:space="0"/>
              <w:left w:val="single" w:color="auto" w:sz="4" w:space="0"/>
              <w:bottom w:val="single" w:color="auto" w:sz="4" w:space="0"/>
              <w:right w:val="single" w:color="auto" w:sz="4" w:space="0"/>
            </w:tcBorders>
            <w:shd w:val="clear" w:color="000000" w:fill="BEBEBE" w:themeFill="background1" w:themeFillShade="BF"/>
            <w:vAlign w:val="center"/>
          </w:tcPr>
          <w:p>
            <w:pPr>
              <w:jc w:val="center"/>
              <w:rPr>
                <w:b/>
                <w:bCs/>
                <w:color w:val="000000"/>
                <w:sz w:val="22"/>
              </w:rPr>
            </w:pPr>
            <w:r>
              <w:rPr>
                <w:rFonts w:hint="eastAsia"/>
                <w:b/>
                <w:bCs/>
                <w:color w:val="000000"/>
                <w:sz w:val="22"/>
              </w:rPr>
              <w:t>一级指标</w:t>
            </w:r>
          </w:p>
        </w:tc>
        <w:tc>
          <w:tcPr>
            <w:tcW w:w="2168" w:type="dxa"/>
            <w:tcBorders>
              <w:top w:val="single" w:color="auto" w:sz="4" w:space="0"/>
              <w:left w:val="nil"/>
              <w:bottom w:val="single" w:color="auto" w:sz="4" w:space="0"/>
              <w:right w:val="single" w:color="auto" w:sz="4" w:space="0"/>
            </w:tcBorders>
            <w:shd w:val="clear" w:color="000000" w:fill="BEBEBE" w:themeFill="background1" w:themeFillShade="BF"/>
            <w:vAlign w:val="center"/>
          </w:tcPr>
          <w:p>
            <w:pPr>
              <w:jc w:val="center"/>
              <w:rPr>
                <w:b/>
                <w:bCs/>
                <w:color w:val="000000"/>
                <w:sz w:val="22"/>
              </w:rPr>
            </w:pPr>
            <w:r>
              <w:rPr>
                <w:rFonts w:hint="eastAsia"/>
                <w:b/>
                <w:bCs/>
                <w:color w:val="000000"/>
                <w:sz w:val="22"/>
              </w:rPr>
              <w:t>权重分</w:t>
            </w:r>
          </w:p>
        </w:tc>
        <w:tc>
          <w:tcPr>
            <w:tcW w:w="2278" w:type="dxa"/>
            <w:tcBorders>
              <w:top w:val="single" w:color="auto" w:sz="4" w:space="0"/>
              <w:left w:val="nil"/>
              <w:bottom w:val="single" w:color="auto" w:sz="4" w:space="0"/>
              <w:right w:val="single" w:color="auto" w:sz="4" w:space="0"/>
            </w:tcBorders>
            <w:shd w:val="clear" w:color="000000" w:fill="BEBEBE" w:themeFill="background1" w:themeFillShade="BF"/>
            <w:vAlign w:val="center"/>
          </w:tcPr>
          <w:p>
            <w:pPr>
              <w:jc w:val="center"/>
              <w:rPr>
                <w:b/>
                <w:bCs/>
                <w:color w:val="000000"/>
                <w:sz w:val="22"/>
              </w:rPr>
            </w:pPr>
            <w:r>
              <w:rPr>
                <w:rFonts w:hint="eastAsia"/>
                <w:b/>
                <w:bCs/>
                <w:color w:val="000000"/>
                <w:sz w:val="22"/>
              </w:rPr>
              <w:t>得分</w:t>
            </w:r>
          </w:p>
        </w:tc>
      </w:tr>
      <w:tr>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jc w:val="center"/>
              <w:rPr>
                <w:color w:val="000000"/>
                <w:sz w:val="22"/>
              </w:rPr>
            </w:pPr>
            <w:r>
              <w:rPr>
                <w:rFonts w:hint="eastAsia"/>
                <w:color w:val="000000"/>
                <w:sz w:val="22"/>
              </w:rPr>
              <w:t>项目决策</w:t>
            </w:r>
          </w:p>
        </w:tc>
        <w:tc>
          <w:tcPr>
            <w:tcW w:w="2168" w:type="dxa"/>
            <w:tcBorders>
              <w:top w:val="nil"/>
              <w:left w:val="nil"/>
              <w:bottom w:val="single" w:color="auto" w:sz="4" w:space="0"/>
              <w:right w:val="single" w:color="auto" w:sz="4" w:space="0"/>
            </w:tcBorders>
            <w:shd w:val="clear" w:color="auto" w:fill="auto"/>
            <w:vAlign w:val="center"/>
          </w:tcPr>
          <w:p>
            <w:pPr>
              <w:jc w:val="center"/>
              <w:rPr>
                <w:rFonts w:hint="default" w:eastAsia="仿宋_GB2312"/>
                <w:color w:val="000000"/>
                <w:sz w:val="22"/>
                <w:lang w:val="en-US" w:eastAsia="zh-CN"/>
              </w:rPr>
            </w:pPr>
            <w:r>
              <w:rPr>
                <w:rFonts w:hint="eastAsia"/>
                <w:color w:val="000000"/>
                <w:sz w:val="22"/>
                <w:lang w:val="en-US" w:eastAsia="zh-CN"/>
              </w:rPr>
              <w:t>30</w:t>
            </w:r>
          </w:p>
        </w:tc>
        <w:tc>
          <w:tcPr>
            <w:tcW w:w="2278" w:type="dxa"/>
            <w:tcBorders>
              <w:top w:val="nil"/>
              <w:left w:val="nil"/>
              <w:bottom w:val="single" w:color="auto" w:sz="4" w:space="0"/>
              <w:right w:val="single" w:color="auto" w:sz="4" w:space="0"/>
            </w:tcBorders>
            <w:shd w:val="clear" w:color="auto" w:fill="auto"/>
            <w:vAlign w:val="center"/>
          </w:tcPr>
          <w:p>
            <w:pPr>
              <w:jc w:val="center"/>
              <w:rPr>
                <w:rFonts w:hint="default" w:eastAsia="仿宋_GB2312"/>
                <w:color w:val="000000"/>
                <w:sz w:val="22"/>
                <w:lang w:val="en-US" w:eastAsia="zh-CN"/>
              </w:rPr>
            </w:pPr>
            <w:r>
              <w:rPr>
                <w:rFonts w:hint="eastAsia"/>
                <w:color w:val="000000"/>
                <w:sz w:val="22"/>
                <w:lang w:val="en-US" w:eastAsia="zh-CN"/>
              </w:rPr>
              <w:t>30</w:t>
            </w:r>
          </w:p>
        </w:tc>
      </w:tr>
      <w:tr>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jc w:val="center"/>
              <w:rPr>
                <w:color w:val="000000"/>
                <w:sz w:val="22"/>
              </w:rPr>
            </w:pPr>
            <w:r>
              <w:rPr>
                <w:rFonts w:hint="eastAsia"/>
                <w:color w:val="000000"/>
                <w:sz w:val="22"/>
              </w:rPr>
              <w:t>项目过程</w:t>
            </w:r>
          </w:p>
        </w:tc>
        <w:tc>
          <w:tcPr>
            <w:tcW w:w="2168" w:type="dxa"/>
            <w:tcBorders>
              <w:top w:val="nil"/>
              <w:left w:val="nil"/>
              <w:bottom w:val="single" w:color="auto" w:sz="4" w:space="0"/>
              <w:right w:val="single" w:color="auto" w:sz="4" w:space="0"/>
            </w:tcBorders>
            <w:shd w:val="clear" w:color="auto" w:fill="auto"/>
            <w:vAlign w:val="center"/>
          </w:tcPr>
          <w:p>
            <w:pPr>
              <w:jc w:val="center"/>
              <w:rPr>
                <w:rFonts w:hint="default" w:eastAsia="仿宋_GB2312"/>
                <w:color w:val="000000"/>
                <w:sz w:val="22"/>
                <w:lang w:val="en-US" w:eastAsia="zh-CN"/>
              </w:rPr>
            </w:pPr>
            <w:r>
              <w:rPr>
                <w:rFonts w:hint="eastAsia"/>
                <w:color w:val="000000"/>
                <w:sz w:val="22"/>
                <w:lang w:val="en-US" w:eastAsia="zh-CN"/>
              </w:rPr>
              <w:t>30</w:t>
            </w:r>
          </w:p>
        </w:tc>
        <w:tc>
          <w:tcPr>
            <w:tcW w:w="2278" w:type="dxa"/>
            <w:tcBorders>
              <w:top w:val="nil"/>
              <w:left w:val="nil"/>
              <w:bottom w:val="single" w:color="auto" w:sz="4" w:space="0"/>
              <w:right w:val="single" w:color="auto" w:sz="4" w:space="0"/>
            </w:tcBorders>
            <w:shd w:val="clear" w:color="auto" w:fill="auto"/>
            <w:vAlign w:val="center"/>
          </w:tcPr>
          <w:p>
            <w:pPr>
              <w:jc w:val="center"/>
              <w:rPr>
                <w:rFonts w:hint="default" w:eastAsia="仿宋_GB2312"/>
                <w:color w:val="000000"/>
                <w:sz w:val="22"/>
                <w:lang w:val="en-US" w:eastAsia="zh-CN"/>
              </w:rPr>
            </w:pPr>
            <w:r>
              <w:rPr>
                <w:rFonts w:hint="eastAsia"/>
                <w:color w:val="000000"/>
                <w:sz w:val="22"/>
                <w:lang w:val="en-US" w:eastAsia="zh-CN"/>
              </w:rPr>
              <w:t>29.57</w:t>
            </w:r>
          </w:p>
        </w:tc>
      </w:tr>
      <w:tr>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jc w:val="center"/>
              <w:rPr>
                <w:color w:val="000000"/>
                <w:sz w:val="22"/>
              </w:rPr>
            </w:pPr>
            <w:r>
              <w:rPr>
                <w:rFonts w:hint="eastAsia"/>
                <w:color w:val="000000"/>
                <w:sz w:val="22"/>
              </w:rPr>
              <w:t>项目产出</w:t>
            </w:r>
          </w:p>
        </w:tc>
        <w:tc>
          <w:tcPr>
            <w:tcW w:w="2168" w:type="dxa"/>
            <w:tcBorders>
              <w:top w:val="nil"/>
              <w:left w:val="nil"/>
              <w:bottom w:val="single" w:color="auto" w:sz="4" w:space="0"/>
              <w:right w:val="single" w:color="auto" w:sz="4" w:space="0"/>
            </w:tcBorders>
            <w:shd w:val="clear" w:color="auto" w:fill="auto"/>
            <w:vAlign w:val="center"/>
          </w:tcPr>
          <w:p>
            <w:pPr>
              <w:jc w:val="center"/>
              <w:rPr>
                <w:rFonts w:hint="default" w:eastAsia="仿宋_GB2312"/>
                <w:color w:val="000000"/>
                <w:sz w:val="22"/>
                <w:lang w:val="en-US" w:eastAsia="zh-CN"/>
              </w:rPr>
            </w:pPr>
            <w:r>
              <w:rPr>
                <w:rFonts w:hint="eastAsia"/>
                <w:color w:val="000000"/>
                <w:sz w:val="22"/>
                <w:lang w:val="en-US" w:eastAsia="zh-CN"/>
              </w:rPr>
              <w:t>30</w:t>
            </w:r>
          </w:p>
        </w:tc>
        <w:tc>
          <w:tcPr>
            <w:tcW w:w="2278" w:type="dxa"/>
            <w:tcBorders>
              <w:top w:val="nil"/>
              <w:left w:val="nil"/>
              <w:bottom w:val="single" w:color="auto" w:sz="4" w:space="0"/>
              <w:right w:val="single" w:color="auto" w:sz="4" w:space="0"/>
            </w:tcBorders>
            <w:shd w:val="clear" w:color="auto" w:fill="auto"/>
            <w:vAlign w:val="center"/>
          </w:tcPr>
          <w:p>
            <w:pPr>
              <w:jc w:val="center"/>
              <w:rPr>
                <w:rFonts w:hint="default" w:eastAsia="仿宋_GB2312"/>
                <w:color w:val="000000"/>
                <w:sz w:val="22"/>
                <w:lang w:val="en-US" w:eastAsia="zh-CN"/>
              </w:rPr>
            </w:pPr>
            <w:r>
              <w:rPr>
                <w:rFonts w:hint="eastAsia"/>
                <w:color w:val="000000"/>
                <w:sz w:val="22"/>
                <w:lang w:val="en-US" w:eastAsia="zh-CN"/>
              </w:rPr>
              <w:t>27.3</w:t>
            </w:r>
          </w:p>
        </w:tc>
      </w:tr>
      <w:tr>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jc w:val="center"/>
              <w:rPr>
                <w:color w:val="000000"/>
                <w:sz w:val="22"/>
              </w:rPr>
            </w:pPr>
            <w:r>
              <w:rPr>
                <w:rFonts w:hint="eastAsia"/>
                <w:color w:val="000000"/>
                <w:sz w:val="22"/>
              </w:rPr>
              <w:t>项目效益</w:t>
            </w:r>
          </w:p>
        </w:tc>
        <w:tc>
          <w:tcPr>
            <w:tcW w:w="2168" w:type="dxa"/>
            <w:tcBorders>
              <w:top w:val="nil"/>
              <w:left w:val="nil"/>
              <w:bottom w:val="single" w:color="auto" w:sz="4" w:space="0"/>
              <w:right w:val="single" w:color="auto" w:sz="4" w:space="0"/>
            </w:tcBorders>
            <w:shd w:val="clear" w:color="auto" w:fill="auto"/>
            <w:vAlign w:val="center"/>
          </w:tcPr>
          <w:p>
            <w:pPr>
              <w:jc w:val="center"/>
              <w:rPr>
                <w:rFonts w:hint="default" w:eastAsia="仿宋_GB2312"/>
                <w:color w:val="000000"/>
                <w:sz w:val="22"/>
                <w:lang w:val="en-US" w:eastAsia="zh-CN"/>
              </w:rPr>
            </w:pPr>
            <w:r>
              <w:rPr>
                <w:rFonts w:hint="eastAsia"/>
                <w:color w:val="000000"/>
                <w:sz w:val="22"/>
                <w:lang w:val="en-US" w:eastAsia="zh-CN"/>
              </w:rPr>
              <w:t>10</w:t>
            </w:r>
          </w:p>
        </w:tc>
        <w:tc>
          <w:tcPr>
            <w:tcW w:w="2278" w:type="dxa"/>
            <w:tcBorders>
              <w:top w:val="nil"/>
              <w:left w:val="nil"/>
              <w:bottom w:val="single" w:color="auto" w:sz="4" w:space="0"/>
              <w:right w:val="single" w:color="auto" w:sz="4" w:space="0"/>
            </w:tcBorders>
            <w:shd w:val="clear" w:color="auto" w:fill="auto"/>
            <w:vAlign w:val="center"/>
          </w:tcPr>
          <w:p>
            <w:pPr>
              <w:jc w:val="center"/>
              <w:rPr>
                <w:rFonts w:hint="default" w:eastAsia="仿宋_GB2312"/>
                <w:color w:val="000000"/>
                <w:sz w:val="22"/>
                <w:lang w:val="en-US" w:eastAsia="zh-CN"/>
              </w:rPr>
            </w:pPr>
            <w:r>
              <w:rPr>
                <w:rFonts w:hint="eastAsia"/>
                <w:color w:val="000000"/>
                <w:sz w:val="22"/>
                <w:lang w:val="en-US" w:eastAsia="zh-CN"/>
              </w:rPr>
              <w:t>10</w:t>
            </w:r>
          </w:p>
        </w:tc>
      </w:tr>
      <w:tr>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jc w:val="center"/>
              <w:rPr>
                <w:rFonts w:cs="宋体"/>
                <w:b/>
                <w:bCs/>
                <w:color w:val="000000"/>
                <w:sz w:val="22"/>
              </w:rPr>
            </w:pPr>
            <w:r>
              <w:rPr>
                <w:rFonts w:hint="eastAsia" w:cs="宋体"/>
                <w:b/>
                <w:bCs/>
                <w:color w:val="000000"/>
                <w:sz w:val="22"/>
              </w:rPr>
              <w:t>合计</w:t>
            </w:r>
          </w:p>
        </w:tc>
        <w:tc>
          <w:tcPr>
            <w:tcW w:w="2168" w:type="dxa"/>
            <w:tcBorders>
              <w:top w:val="nil"/>
              <w:left w:val="nil"/>
              <w:bottom w:val="single" w:color="auto" w:sz="4" w:space="0"/>
              <w:right w:val="single" w:color="auto" w:sz="4" w:space="0"/>
            </w:tcBorders>
            <w:shd w:val="clear" w:color="auto" w:fill="auto"/>
            <w:vAlign w:val="center"/>
          </w:tcPr>
          <w:p>
            <w:pPr>
              <w:jc w:val="center"/>
              <w:rPr>
                <w:rFonts w:hint="default" w:eastAsia="仿宋_GB2312"/>
                <w:b/>
                <w:bCs/>
                <w:color w:val="000000"/>
                <w:sz w:val="22"/>
                <w:lang w:val="en-US" w:eastAsia="zh-CN"/>
              </w:rPr>
            </w:pPr>
            <w:r>
              <w:rPr>
                <w:rFonts w:hint="eastAsia"/>
                <w:b/>
                <w:bCs/>
                <w:color w:val="000000"/>
                <w:sz w:val="22"/>
                <w:lang w:val="en-US" w:eastAsia="zh-CN"/>
              </w:rPr>
              <w:t>100</w:t>
            </w:r>
          </w:p>
        </w:tc>
        <w:tc>
          <w:tcPr>
            <w:tcW w:w="2278" w:type="dxa"/>
            <w:tcBorders>
              <w:top w:val="nil"/>
              <w:left w:val="nil"/>
              <w:bottom w:val="single" w:color="auto" w:sz="4" w:space="0"/>
              <w:right w:val="single" w:color="auto" w:sz="4" w:space="0"/>
            </w:tcBorders>
            <w:shd w:val="clear" w:color="auto" w:fill="auto"/>
            <w:vAlign w:val="center"/>
          </w:tcPr>
          <w:p>
            <w:pPr>
              <w:jc w:val="center"/>
              <w:rPr>
                <w:rFonts w:hint="default" w:eastAsia="仿宋_GB2312"/>
                <w:b/>
                <w:bCs/>
                <w:color w:val="000000"/>
                <w:sz w:val="22"/>
                <w:lang w:val="en-US" w:eastAsia="zh-CN"/>
              </w:rPr>
            </w:pPr>
            <w:r>
              <w:rPr>
                <w:rFonts w:hint="eastAsia"/>
                <w:b/>
                <w:bCs/>
                <w:color w:val="000000"/>
                <w:sz w:val="22"/>
                <w:lang w:val="en-US" w:eastAsia="zh-CN"/>
              </w:rPr>
              <w:t>96.87</w:t>
            </w:r>
          </w:p>
        </w:tc>
      </w:tr>
    </w:tbl>
    <w:p>
      <w:pPr>
        <w:pStyle w:val="5"/>
        <w:spacing w:line="360" w:lineRule="auto"/>
        <w:rPr>
          <w:rFonts w:hint="eastAsia" w:ascii="仿宋_GB2312" w:eastAsia="仿宋_GB2312"/>
          <w:b w:val="0"/>
          <w:bCs w:val="0"/>
        </w:rPr>
      </w:pPr>
      <w:bookmarkStart w:id="9" w:name="_Toc68703836"/>
      <w:r>
        <w:rPr>
          <w:rFonts w:hint="eastAsia" w:ascii="仿宋_GB2312" w:eastAsia="仿宋_GB2312"/>
          <w:b w:val="0"/>
          <w:bCs w:val="0"/>
        </w:rPr>
        <w:t>（二）评价结论</w:t>
      </w:r>
      <w:bookmarkEnd w:id="9"/>
    </w:p>
    <w:p>
      <w:pPr>
        <w:spacing w:line="360" w:lineRule="auto"/>
        <w:ind w:firstLine="600" w:firstLineChars="200"/>
        <w:rPr>
          <w:color w:val="FF0000"/>
        </w:rPr>
      </w:pPr>
      <w:r>
        <w:rPr>
          <w:rFonts w:hint="eastAsia"/>
          <w:color w:val="auto"/>
        </w:rPr>
        <w:t>本项目的项目决策、项目过程、项目产出、项目效益大部分达到了预期要求，得分为</w:t>
      </w:r>
      <w:r>
        <w:rPr>
          <w:rFonts w:hint="eastAsia"/>
          <w:color w:val="auto"/>
          <w:lang w:val="en-US" w:eastAsia="zh-CN"/>
        </w:rPr>
        <w:t>96.87</w:t>
      </w:r>
      <w:r>
        <w:rPr>
          <w:rFonts w:hint="eastAsia"/>
          <w:color w:val="auto"/>
        </w:rPr>
        <w:t>分，项目大部分达成年度指标，</w:t>
      </w:r>
      <w:r>
        <w:rPr>
          <w:rFonts w:hint="eastAsia"/>
          <w:color w:val="auto"/>
          <w:lang w:val="en-US" w:eastAsia="zh-CN"/>
        </w:rPr>
        <w:t>数量</w:t>
      </w:r>
      <w:r>
        <w:rPr>
          <w:rFonts w:hint="eastAsia"/>
          <w:color w:val="auto"/>
        </w:rPr>
        <w:t>指标未达成年度指标的原因是</w:t>
      </w:r>
      <w:r>
        <w:rPr>
          <w:rFonts w:hint="eastAsia"/>
          <w:color w:val="auto"/>
          <w:lang w:val="en-US" w:eastAsia="zh-CN"/>
        </w:rPr>
        <w:t>优化了渠道走向，因此减少了渠道长度，所以项目决算后价格低于预算价。</w:t>
      </w:r>
    </w:p>
    <w:p>
      <w:pPr>
        <w:pStyle w:val="4"/>
        <w:spacing w:line="360" w:lineRule="auto"/>
        <w:rPr>
          <w:rFonts w:ascii="宋体" w:hAnsi="宋体" w:eastAsia="宋体"/>
          <w:sz w:val="32"/>
          <w:szCs w:val="32"/>
        </w:rPr>
      </w:pPr>
      <w:bookmarkStart w:id="10" w:name="_Toc68703837"/>
      <w:r>
        <w:rPr>
          <w:rFonts w:hint="eastAsia" w:ascii="宋体" w:hAnsi="宋体" w:eastAsia="宋体"/>
          <w:sz w:val="32"/>
          <w:szCs w:val="32"/>
        </w:rPr>
        <w:t>四、绩效评价指标分析</w:t>
      </w:r>
      <w:bookmarkEnd w:id="10"/>
    </w:p>
    <w:p>
      <w:pPr>
        <w:pStyle w:val="5"/>
        <w:spacing w:line="360" w:lineRule="auto"/>
        <w:rPr>
          <w:rFonts w:hint="eastAsia" w:ascii="仿宋_GB2312" w:eastAsia="仿宋_GB2312"/>
          <w:b w:val="0"/>
          <w:bCs w:val="0"/>
        </w:rPr>
      </w:pPr>
      <w:bookmarkStart w:id="11" w:name="_Toc68703838"/>
      <w:r>
        <w:rPr>
          <w:rFonts w:hint="eastAsia" w:ascii="仿宋_GB2312" w:eastAsia="仿宋_GB2312"/>
          <w:b w:val="0"/>
          <w:bCs w:val="0"/>
        </w:rPr>
        <w:t>（一）项目决策情况。</w:t>
      </w:r>
      <w:bookmarkEnd w:id="11"/>
    </w:p>
    <w:p>
      <w:pPr>
        <w:spacing w:line="360" w:lineRule="auto"/>
        <w:ind w:firstLine="600" w:firstLineChars="200"/>
        <w:jc w:val="left"/>
        <w:rPr>
          <w:rFonts w:hint="eastAsia"/>
        </w:rPr>
      </w:pPr>
      <w:r>
        <w:rPr>
          <w:rFonts w:hint="eastAsia"/>
        </w:rPr>
        <w:t>1</w:t>
      </w:r>
      <w:r>
        <w:rPr>
          <w:rFonts w:hint="eastAsia"/>
          <w:lang w:val="en-US" w:eastAsia="zh-CN"/>
        </w:rPr>
        <w:t>.</w:t>
      </w:r>
      <w:r>
        <w:rPr>
          <w:rFonts w:hint="eastAsia"/>
        </w:rPr>
        <w:t>立项依据充分性</w:t>
      </w:r>
    </w:p>
    <w:p>
      <w:pPr>
        <w:spacing w:line="360" w:lineRule="auto"/>
        <w:ind w:firstLine="600" w:firstLineChars="200"/>
        <w:rPr>
          <w:rFonts w:hint="eastAsia" w:ascii="Times New Roman" w:hAnsi="Times New Roman" w:cs="Times New Roman"/>
          <w:color w:val="auto"/>
        </w:rPr>
      </w:pPr>
      <w:r>
        <w:rPr>
          <w:rFonts w:hint="eastAsia"/>
          <w:color w:val="auto"/>
        </w:rPr>
        <w:t>项目立项依据《伊州财</w:t>
      </w:r>
      <w:r>
        <w:rPr>
          <w:rFonts w:hint="eastAsia"/>
          <w:color w:val="auto"/>
          <w:lang w:eastAsia="zh-CN"/>
        </w:rPr>
        <w:t>农</w:t>
      </w:r>
      <w:r>
        <w:rPr>
          <w:rFonts w:hint="eastAsia"/>
          <w:color w:val="auto"/>
        </w:rPr>
        <w:t>【202</w:t>
      </w:r>
      <w:r>
        <w:rPr>
          <w:rFonts w:hint="eastAsia"/>
          <w:color w:val="auto"/>
          <w:lang w:val="en-US" w:eastAsia="zh-CN"/>
        </w:rPr>
        <w:t>2</w:t>
      </w:r>
      <w:r>
        <w:rPr>
          <w:rFonts w:hint="eastAsia"/>
          <w:color w:val="auto"/>
        </w:rPr>
        <w:t>】</w:t>
      </w:r>
      <w:r>
        <w:rPr>
          <w:rFonts w:hint="eastAsia"/>
          <w:color w:val="auto"/>
          <w:lang w:val="en-US" w:eastAsia="zh-CN"/>
        </w:rPr>
        <w:t>5</w:t>
      </w:r>
      <w:r>
        <w:rPr>
          <w:rFonts w:hint="eastAsia"/>
          <w:color w:val="auto"/>
        </w:rPr>
        <w:t>号文件》</w:t>
      </w:r>
      <w:r>
        <w:rPr>
          <w:rFonts w:hint="eastAsia"/>
          <w:color w:val="auto"/>
          <w:lang w:eastAsia="zh-CN"/>
        </w:rPr>
        <w:t>；</w:t>
      </w:r>
      <w:r>
        <w:rPr>
          <w:rFonts w:hint="eastAsia"/>
          <w:color w:val="auto"/>
        </w:rPr>
        <w:t>项目立项符合行业发展规划和政策要求；项目立项与部门职责范围相符，属于部门履职所需；项目属于公共财政支持范围，符合中央、地方事权支出责任划分原则；项目</w:t>
      </w:r>
      <w:r>
        <w:rPr>
          <w:rFonts w:hint="eastAsia"/>
          <w:color w:val="auto"/>
          <w:lang w:val="en-US" w:eastAsia="zh-CN"/>
        </w:rPr>
        <w:t>未</w:t>
      </w:r>
      <w:r>
        <w:rPr>
          <w:rFonts w:hint="eastAsia"/>
          <w:color w:val="auto"/>
        </w:rPr>
        <w:t>与相关部门同类项目或部门内部相关项目重复。</w:t>
      </w:r>
    </w:p>
    <w:p>
      <w:pPr>
        <w:spacing w:line="360" w:lineRule="auto"/>
        <w:ind w:firstLine="600" w:firstLineChars="200"/>
        <w:jc w:val="left"/>
        <w:rPr>
          <w:rFonts w:hint="eastAsia"/>
        </w:rPr>
      </w:pPr>
      <w:r>
        <w:rPr>
          <w:rFonts w:hint="eastAsia"/>
        </w:rPr>
        <w:t>2</w:t>
      </w:r>
      <w:r>
        <w:rPr>
          <w:rFonts w:hint="eastAsia"/>
          <w:lang w:val="en-US" w:eastAsia="zh-CN"/>
        </w:rPr>
        <w:t>.</w:t>
      </w:r>
      <w:r>
        <w:rPr>
          <w:rFonts w:hint="eastAsia"/>
        </w:rPr>
        <w:t>立项程序规范性</w:t>
      </w:r>
    </w:p>
    <w:p>
      <w:pPr>
        <w:spacing w:line="360" w:lineRule="auto"/>
        <w:ind w:firstLine="600" w:firstLineChars="200"/>
        <w:rPr>
          <w:color w:val="auto"/>
        </w:rPr>
      </w:pPr>
      <w:r>
        <w:rPr>
          <w:rFonts w:hint="eastAsia"/>
          <w:color w:val="auto"/>
        </w:rPr>
        <w:t>项目按照规定的程序申请设立；审批文件、材料符合相关要求；</w:t>
      </w:r>
    </w:p>
    <w:p>
      <w:pPr>
        <w:spacing w:line="360" w:lineRule="auto"/>
        <w:rPr>
          <w:color w:val="auto"/>
        </w:rPr>
      </w:pPr>
      <w:r>
        <w:rPr>
          <w:rFonts w:hint="eastAsia"/>
          <w:color w:val="auto"/>
        </w:rPr>
        <w:t>事前已经过必要的可行性研究、专家论证、风险评估、绩效评估、集体决策。</w:t>
      </w:r>
    </w:p>
    <w:p>
      <w:pPr>
        <w:spacing w:line="360" w:lineRule="auto"/>
        <w:ind w:firstLine="600" w:firstLineChars="200"/>
        <w:jc w:val="left"/>
        <w:rPr>
          <w:rFonts w:hint="eastAsia"/>
        </w:rPr>
      </w:pPr>
      <w:r>
        <w:rPr>
          <w:rFonts w:hint="eastAsia"/>
        </w:rPr>
        <w:t>3</w:t>
      </w:r>
      <w:r>
        <w:rPr>
          <w:rFonts w:hint="eastAsia"/>
          <w:lang w:val="en-US" w:eastAsia="zh-CN"/>
        </w:rPr>
        <w:t>.</w:t>
      </w:r>
      <w:r>
        <w:rPr>
          <w:rFonts w:hint="eastAsia"/>
        </w:rPr>
        <w:t>绩效目标合理性</w:t>
      </w:r>
    </w:p>
    <w:p>
      <w:pPr>
        <w:spacing w:line="360" w:lineRule="auto"/>
        <w:ind w:firstLine="600" w:firstLineChars="200"/>
        <w:rPr>
          <w:color w:val="FF0000"/>
        </w:rPr>
      </w:pPr>
      <w:r>
        <w:rPr>
          <w:rFonts w:hint="eastAsia" w:ascii="Times New Roman" w:hAnsi="Times New Roman" w:cs="Times New Roman"/>
          <w:color w:val="auto"/>
        </w:rPr>
        <w:t>农村综合改革转移支付</w:t>
      </w:r>
      <w:r>
        <w:rPr>
          <w:rFonts w:hint="eastAsia"/>
          <w:color w:val="auto"/>
        </w:rPr>
        <w:t>项目设立了项目绩效目标，与</w:t>
      </w:r>
      <w:r>
        <w:rPr>
          <w:rFonts w:hint="eastAsia"/>
          <w:color w:val="auto"/>
          <w:lang w:eastAsia="zh-CN"/>
        </w:rPr>
        <w:t>发放宾静牧民补贴</w:t>
      </w:r>
      <w:r>
        <w:rPr>
          <w:rFonts w:hint="eastAsia"/>
          <w:color w:val="auto"/>
        </w:rPr>
        <w:t>具有相关性，项目的预期产出效益和效果也均能符合正常的业绩水平，并且与预算确定的项目投资额或资金量相匹配。</w:t>
      </w:r>
    </w:p>
    <w:p>
      <w:pPr>
        <w:spacing w:line="360" w:lineRule="auto"/>
        <w:ind w:firstLine="600" w:firstLineChars="200"/>
        <w:jc w:val="left"/>
        <w:rPr>
          <w:rFonts w:hint="eastAsia"/>
        </w:rPr>
      </w:pPr>
      <w:r>
        <w:rPr>
          <w:rFonts w:hint="eastAsia"/>
        </w:rPr>
        <w:t>4</w:t>
      </w:r>
      <w:r>
        <w:rPr>
          <w:rFonts w:hint="eastAsia"/>
          <w:lang w:val="en-US" w:eastAsia="zh-CN"/>
        </w:rPr>
        <w:t>.</w:t>
      </w:r>
      <w:r>
        <w:rPr>
          <w:rFonts w:hint="eastAsia"/>
        </w:rPr>
        <w:t>绩效指标明确性</w:t>
      </w:r>
    </w:p>
    <w:p>
      <w:pPr>
        <w:spacing w:line="360" w:lineRule="auto"/>
        <w:ind w:firstLine="600" w:firstLineChars="200"/>
        <w:rPr>
          <w:color w:val="FF0000"/>
        </w:rPr>
      </w:pPr>
      <w:bookmarkStart w:id="12" w:name="_Hlk68699917"/>
      <w:r>
        <w:rPr>
          <w:rFonts w:hint="eastAsia" w:ascii="Times New Roman" w:hAnsi="Times New Roman" w:cs="Times New Roman"/>
          <w:color w:val="auto"/>
        </w:rPr>
        <w:t>农村综合改革转移支付</w:t>
      </w:r>
      <w:r>
        <w:rPr>
          <w:rFonts w:hint="eastAsia"/>
          <w:color w:val="auto"/>
        </w:rPr>
        <w:t>项目将项目绩效目标细化分解为具体的绩效指标，一级指标共</w:t>
      </w:r>
      <w:r>
        <w:rPr>
          <w:rFonts w:hint="eastAsia"/>
          <w:color w:val="auto"/>
          <w:lang w:val="en-US" w:eastAsia="zh-CN"/>
        </w:rPr>
        <w:t>3</w:t>
      </w:r>
      <w:r>
        <w:rPr>
          <w:rFonts w:hint="eastAsia"/>
          <w:color w:val="auto"/>
        </w:rPr>
        <w:t>条，二级指标共</w:t>
      </w:r>
      <w:r>
        <w:rPr>
          <w:rFonts w:hint="eastAsia"/>
          <w:color w:val="auto"/>
          <w:lang w:val="en-US" w:eastAsia="zh-CN"/>
        </w:rPr>
        <w:t>8</w:t>
      </w:r>
      <w:r>
        <w:rPr>
          <w:rFonts w:hint="eastAsia"/>
          <w:color w:val="auto"/>
        </w:rPr>
        <w:t>条，三级指标共</w:t>
      </w:r>
      <w:r>
        <w:rPr>
          <w:rFonts w:hint="eastAsia"/>
          <w:color w:val="auto"/>
          <w:lang w:val="en-US" w:eastAsia="zh-CN"/>
        </w:rPr>
        <w:t>16</w:t>
      </w:r>
      <w:r>
        <w:rPr>
          <w:rFonts w:hint="eastAsia"/>
          <w:color w:val="auto"/>
        </w:rPr>
        <w:t>条，其中量化指标条数共</w:t>
      </w:r>
      <w:r>
        <w:rPr>
          <w:rFonts w:hint="eastAsia"/>
          <w:color w:val="auto"/>
          <w:lang w:val="en-US" w:eastAsia="zh-CN"/>
        </w:rPr>
        <w:t>14</w:t>
      </w:r>
      <w:r>
        <w:rPr>
          <w:rFonts w:hint="eastAsia"/>
          <w:color w:val="auto"/>
        </w:rPr>
        <w:t>条，所有绩效指标均通过清晰、可衡量的指标值予以体现，并且做到了与项目目标任务数或计划数相对应。</w:t>
      </w:r>
      <w:bookmarkEnd w:id="12"/>
    </w:p>
    <w:p>
      <w:pPr>
        <w:spacing w:line="360" w:lineRule="auto"/>
        <w:ind w:firstLine="600" w:firstLineChars="200"/>
        <w:jc w:val="left"/>
        <w:rPr>
          <w:rFonts w:hint="eastAsia"/>
        </w:rPr>
      </w:pPr>
      <w:r>
        <w:rPr>
          <w:rFonts w:hint="eastAsia"/>
        </w:rPr>
        <w:t>5</w:t>
      </w:r>
      <w:r>
        <w:rPr>
          <w:rFonts w:hint="eastAsia"/>
          <w:lang w:val="en-US" w:eastAsia="zh-CN"/>
        </w:rPr>
        <w:t>.</w:t>
      </w:r>
      <w:r>
        <w:rPr>
          <w:rFonts w:hint="eastAsia"/>
        </w:rPr>
        <w:t>预算编制科学性</w:t>
      </w:r>
    </w:p>
    <w:p>
      <w:pPr>
        <w:spacing w:line="360" w:lineRule="auto"/>
        <w:ind w:firstLine="600" w:firstLineChars="200"/>
        <w:rPr>
          <w:color w:val="FF0000"/>
        </w:rPr>
      </w:pPr>
      <w:r>
        <w:rPr>
          <w:rFonts w:hint="eastAsia"/>
          <w:color w:val="auto"/>
          <w:lang w:val="en-US" w:eastAsia="zh-CN"/>
        </w:rPr>
        <w:t>本项目</w:t>
      </w:r>
      <w:r>
        <w:rPr>
          <w:rFonts w:hint="eastAsia"/>
          <w:color w:val="auto"/>
        </w:rPr>
        <w:t>预算编制经过科学论证；预算内容与项目内容匹配；预算额度测算依据充分，按照标准编制；预算确定的项目投资额或资金量与工作任务相匹配。</w:t>
      </w:r>
    </w:p>
    <w:p>
      <w:pPr>
        <w:spacing w:line="360" w:lineRule="auto"/>
        <w:ind w:firstLine="600" w:firstLineChars="200"/>
        <w:jc w:val="left"/>
        <w:rPr>
          <w:rFonts w:hint="eastAsia"/>
        </w:rPr>
      </w:pPr>
      <w:r>
        <w:rPr>
          <w:rFonts w:hint="eastAsia"/>
        </w:rPr>
        <w:t>6</w:t>
      </w:r>
      <w:r>
        <w:rPr>
          <w:rFonts w:hint="eastAsia"/>
          <w:lang w:val="en-US" w:eastAsia="zh-CN"/>
        </w:rPr>
        <w:t>.</w:t>
      </w:r>
      <w:r>
        <w:rPr>
          <w:rFonts w:hint="eastAsia"/>
        </w:rPr>
        <w:t>资金分配合理性</w:t>
      </w:r>
    </w:p>
    <w:p>
      <w:pPr>
        <w:spacing w:line="360" w:lineRule="auto"/>
        <w:ind w:firstLine="600" w:firstLineChars="200"/>
        <w:rPr>
          <w:color w:val="auto"/>
        </w:rPr>
      </w:pPr>
      <w:r>
        <w:rPr>
          <w:rFonts w:hint="eastAsia"/>
          <w:color w:val="auto"/>
          <w:lang w:val="en-US" w:eastAsia="zh-CN"/>
        </w:rPr>
        <w:t>本项目</w:t>
      </w:r>
      <w:r>
        <w:rPr>
          <w:rFonts w:hint="eastAsia"/>
          <w:color w:val="auto"/>
        </w:rPr>
        <w:t>预算资金分配依据充分；资金分配额度合理，与项目单位或地方实际相适应。</w:t>
      </w:r>
    </w:p>
    <w:p>
      <w:pPr>
        <w:pStyle w:val="5"/>
        <w:spacing w:line="360" w:lineRule="auto"/>
        <w:rPr>
          <w:rFonts w:hint="eastAsia" w:ascii="仿宋_GB2312" w:eastAsia="仿宋_GB2312"/>
          <w:b w:val="0"/>
          <w:bCs w:val="0"/>
        </w:rPr>
      </w:pPr>
      <w:bookmarkStart w:id="13" w:name="_Toc68703839"/>
      <w:r>
        <w:rPr>
          <w:rFonts w:hint="eastAsia" w:ascii="仿宋_GB2312" w:eastAsia="仿宋_GB2312"/>
          <w:b w:val="0"/>
          <w:bCs w:val="0"/>
        </w:rPr>
        <w:t>（二）项目过程情况。</w:t>
      </w:r>
      <w:bookmarkEnd w:id="13"/>
    </w:p>
    <w:p>
      <w:pPr>
        <w:spacing w:line="360" w:lineRule="auto"/>
        <w:ind w:firstLine="600" w:firstLineChars="200"/>
        <w:jc w:val="left"/>
        <w:rPr>
          <w:rFonts w:hint="eastAsia"/>
        </w:rPr>
      </w:pPr>
      <w:r>
        <w:rPr>
          <w:rFonts w:hint="eastAsia"/>
        </w:rPr>
        <w:t>1</w:t>
      </w:r>
      <w:r>
        <w:rPr>
          <w:rFonts w:hint="eastAsia"/>
          <w:lang w:val="en-US" w:eastAsia="zh-CN"/>
        </w:rPr>
        <w:t>.</w:t>
      </w:r>
      <w:r>
        <w:rPr>
          <w:rFonts w:hint="eastAsia"/>
        </w:rPr>
        <w:t>资金到位率：</w:t>
      </w:r>
    </w:p>
    <w:p>
      <w:pPr>
        <w:spacing w:line="360" w:lineRule="auto"/>
        <w:ind w:firstLine="600" w:firstLineChars="200"/>
        <w:rPr>
          <w:color w:val="FF0000"/>
        </w:rPr>
      </w:pPr>
      <w:r>
        <w:rPr>
          <w:rFonts w:hint="eastAsia"/>
          <w:color w:val="auto"/>
        </w:rPr>
        <w:t>预算资金</w:t>
      </w:r>
      <w:r>
        <w:rPr>
          <w:rFonts w:hint="eastAsia"/>
          <w:color w:val="auto"/>
          <w:lang w:val="en-US" w:eastAsia="zh-CN"/>
        </w:rPr>
        <w:t>45</w:t>
      </w:r>
      <w:r>
        <w:rPr>
          <w:rFonts w:hint="eastAsia"/>
          <w:color w:val="auto"/>
        </w:rPr>
        <w:t>万元，实际到位资金</w:t>
      </w:r>
      <w:r>
        <w:rPr>
          <w:rFonts w:hint="eastAsia"/>
          <w:color w:val="auto"/>
          <w:lang w:val="en-US" w:eastAsia="zh-CN"/>
        </w:rPr>
        <w:t>45</w:t>
      </w:r>
      <w:r>
        <w:rPr>
          <w:rFonts w:hint="eastAsia"/>
          <w:color w:val="auto"/>
        </w:rPr>
        <w:t>万元，资金到位率</w:t>
      </w:r>
      <w:r>
        <w:rPr>
          <w:rFonts w:hint="eastAsia"/>
          <w:color w:val="auto"/>
          <w:lang w:val="en-US" w:eastAsia="zh-CN"/>
        </w:rPr>
        <w:t>100</w:t>
      </w:r>
      <w:r>
        <w:rPr>
          <w:rFonts w:hint="eastAsia"/>
          <w:color w:val="auto"/>
        </w:rPr>
        <w:t>%。</w:t>
      </w:r>
    </w:p>
    <w:p>
      <w:pPr>
        <w:spacing w:line="360" w:lineRule="auto"/>
        <w:ind w:firstLine="600" w:firstLineChars="200"/>
        <w:jc w:val="left"/>
        <w:rPr>
          <w:rFonts w:hint="eastAsia"/>
        </w:rPr>
      </w:pPr>
      <w:r>
        <w:rPr>
          <w:rFonts w:hint="eastAsia"/>
        </w:rPr>
        <w:t>2</w:t>
      </w:r>
      <w:r>
        <w:rPr>
          <w:rFonts w:hint="eastAsia"/>
          <w:lang w:val="en-US" w:eastAsia="zh-CN"/>
        </w:rPr>
        <w:t>.</w:t>
      </w:r>
      <w:r>
        <w:rPr>
          <w:rFonts w:hint="eastAsia"/>
        </w:rPr>
        <w:t>预算执行率</w:t>
      </w:r>
    </w:p>
    <w:p>
      <w:pPr>
        <w:spacing w:line="360" w:lineRule="auto"/>
        <w:ind w:firstLine="600" w:firstLineChars="200"/>
        <w:rPr>
          <w:rFonts w:hint="eastAsia" w:eastAsia="仿宋_GB2312"/>
          <w:color w:val="auto"/>
          <w:lang w:eastAsia="zh-CN"/>
        </w:rPr>
      </w:pPr>
      <w:r>
        <w:rPr>
          <w:rFonts w:hint="eastAsia"/>
          <w:color w:val="auto"/>
        </w:rPr>
        <w:t>年初预算数</w:t>
      </w:r>
      <w:r>
        <w:rPr>
          <w:rFonts w:hint="eastAsia"/>
          <w:color w:val="auto"/>
          <w:lang w:val="en-US" w:eastAsia="zh-CN"/>
        </w:rPr>
        <w:t>45</w:t>
      </w:r>
      <w:r>
        <w:rPr>
          <w:rFonts w:hint="eastAsia"/>
          <w:color w:val="auto"/>
        </w:rPr>
        <w:t>万元，全年预算数</w:t>
      </w:r>
      <w:r>
        <w:rPr>
          <w:rFonts w:hint="eastAsia"/>
          <w:color w:val="auto"/>
          <w:lang w:val="en-US" w:eastAsia="zh-CN"/>
        </w:rPr>
        <w:t>45</w:t>
      </w:r>
      <w:r>
        <w:rPr>
          <w:rFonts w:hint="eastAsia"/>
          <w:color w:val="auto"/>
        </w:rPr>
        <w:t>万元，全年执行数</w:t>
      </w:r>
      <w:r>
        <w:rPr>
          <w:rFonts w:hint="eastAsia"/>
          <w:color w:val="auto"/>
          <w:lang w:val="en-US" w:eastAsia="zh-CN"/>
        </w:rPr>
        <w:t>41.140385</w:t>
      </w:r>
      <w:r>
        <w:rPr>
          <w:rFonts w:hint="eastAsia"/>
          <w:color w:val="auto"/>
        </w:rPr>
        <w:t>万元，预算执行率为</w:t>
      </w:r>
      <w:r>
        <w:rPr>
          <w:rFonts w:hint="eastAsia"/>
          <w:color w:val="auto"/>
          <w:lang w:val="en-US" w:eastAsia="zh-CN"/>
        </w:rPr>
        <w:t>91.42</w:t>
      </w:r>
      <w:r>
        <w:rPr>
          <w:rFonts w:hint="eastAsia"/>
          <w:color w:val="auto"/>
        </w:rPr>
        <w:t>%</w:t>
      </w:r>
      <w:r>
        <w:rPr>
          <w:rFonts w:hint="eastAsia"/>
          <w:color w:val="auto"/>
          <w:lang w:eastAsia="zh-CN"/>
        </w:rPr>
        <w:t>。</w:t>
      </w:r>
    </w:p>
    <w:p>
      <w:pPr>
        <w:spacing w:line="360" w:lineRule="auto"/>
        <w:ind w:firstLine="600" w:firstLineChars="200"/>
        <w:jc w:val="left"/>
        <w:rPr>
          <w:rFonts w:hint="eastAsia"/>
        </w:rPr>
      </w:pPr>
      <w:r>
        <w:rPr>
          <w:rFonts w:hint="eastAsia"/>
        </w:rPr>
        <w:t>3</w:t>
      </w:r>
      <w:r>
        <w:rPr>
          <w:rFonts w:hint="eastAsia"/>
          <w:lang w:val="en-US" w:eastAsia="zh-CN"/>
        </w:rPr>
        <w:t>.</w:t>
      </w:r>
      <w:r>
        <w:rPr>
          <w:rFonts w:hint="eastAsia"/>
        </w:rPr>
        <w:t>资金使用合规性</w:t>
      </w:r>
    </w:p>
    <w:p>
      <w:pPr>
        <w:spacing w:line="360" w:lineRule="auto"/>
        <w:ind w:firstLine="600" w:firstLineChars="200"/>
        <w:jc w:val="left"/>
        <w:rPr>
          <w:rFonts w:hint="eastAsia"/>
          <w:color w:val="auto"/>
        </w:rPr>
      </w:pPr>
      <w:r>
        <w:rPr>
          <w:rFonts w:hint="eastAsia"/>
          <w:color w:val="auto"/>
          <w:lang w:val="en-US" w:eastAsia="zh-CN"/>
        </w:rPr>
        <w:t>本项目</w:t>
      </w:r>
      <w:r>
        <w:rPr>
          <w:rFonts w:hint="eastAsia"/>
          <w:color w:val="auto"/>
        </w:rPr>
        <w:t>符合国家财经法规和财务管理制度以及有关专项资金管理办法的规定；资金的拨付有完整的审批程序和手续；符合项目预算批复或合同规定的用途；</w:t>
      </w:r>
      <w:r>
        <w:rPr>
          <w:rFonts w:hint="eastAsia"/>
          <w:color w:val="auto"/>
          <w:lang w:val="en-US" w:eastAsia="zh-CN"/>
        </w:rPr>
        <w:t>不</w:t>
      </w:r>
      <w:r>
        <w:rPr>
          <w:rFonts w:hint="eastAsia"/>
          <w:color w:val="auto"/>
        </w:rPr>
        <w:t>存在截留、挤占、挪用、虚列支出等情况。</w:t>
      </w:r>
    </w:p>
    <w:p>
      <w:pPr>
        <w:spacing w:line="360" w:lineRule="auto"/>
        <w:ind w:firstLine="600" w:firstLineChars="200"/>
        <w:jc w:val="left"/>
        <w:rPr>
          <w:rFonts w:hint="eastAsia"/>
        </w:rPr>
      </w:pPr>
      <w:r>
        <w:rPr>
          <w:rFonts w:hint="eastAsia"/>
        </w:rPr>
        <w:t>4</w:t>
      </w:r>
      <w:r>
        <w:rPr>
          <w:rFonts w:hint="eastAsia"/>
          <w:lang w:val="en-US" w:eastAsia="zh-CN"/>
        </w:rPr>
        <w:t>.</w:t>
      </w:r>
      <w:r>
        <w:rPr>
          <w:rFonts w:hint="eastAsia"/>
        </w:rPr>
        <w:t>管理制度健全性</w:t>
      </w:r>
    </w:p>
    <w:p>
      <w:pPr>
        <w:spacing w:line="360" w:lineRule="auto"/>
        <w:ind w:firstLine="600" w:firstLineChars="200"/>
        <w:jc w:val="left"/>
        <w:rPr>
          <w:rFonts w:hint="eastAsia"/>
          <w:color w:val="auto"/>
        </w:rPr>
      </w:pPr>
      <w:r>
        <w:rPr>
          <w:rFonts w:hint="eastAsia"/>
          <w:color w:val="auto"/>
          <w:lang w:val="en-US" w:eastAsia="zh-CN"/>
        </w:rPr>
        <w:t>本项目</w:t>
      </w:r>
      <w:r>
        <w:rPr>
          <w:rFonts w:hint="eastAsia"/>
          <w:color w:val="auto"/>
        </w:rPr>
        <w:t>已制定或具有相应的财务和业务管理制度；财务和业务管理制度合法、合规、完整。</w:t>
      </w:r>
    </w:p>
    <w:p>
      <w:pPr>
        <w:spacing w:line="360" w:lineRule="auto"/>
        <w:ind w:firstLine="600" w:firstLineChars="200"/>
        <w:jc w:val="left"/>
        <w:rPr>
          <w:rFonts w:hint="eastAsia"/>
        </w:rPr>
      </w:pPr>
      <w:r>
        <w:rPr>
          <w:rFonts w:hint="eastAsia"/>
        </w:rPr>
        <w:t>5</w:t>
      </w:r>
      <w:r>
        <w:rPr>
          <w:rFonts w:hint="eastAsia"/>
          <w:lang w:val="en-US" w:eastAsia="zh-CN"/>
        </w:rPr>
        <w:t>.</w:t>
      </w:r>
      <w:r>
        <w:rPr>
          <w:rFonts w:hint="eastAsia"/>
        </w:rPr>
        <w:t>制度执行有效性</w:t>
      </w:r>
    </w:p>
    <w:p>
      <w:pPr>
        <w:spacing w:line="360" w:lineRule="auto"/>
        <w:ind w:firstLine="600" w:firstLineChars="200"/>
        <w:rPr>
          <w:color w:val="auto"/>
        </w:rPr>
      </w:pPr>
      <w:bookmarkStart w:id="14" w:name="_Toc68703840"/>
      <w:r>
        <w:rPr>
          <w:rFonts w:hint="eastAsia"/>
          <w:color w:val="auto"/>
          <w:lang w:val="en-US" w:eastAsia="zh-CN"/>
        </w:rPr>
        <w:t>本项目</w:t>
      </w:r>
      <w:r>
        <w:rPr>
          <w:rFonts w:hint="eastAsia"/>
          <w:color w:val="auto"/>
        </w:rPr>
        <w:t>遵守相关法律法规和相关管理规定；项目调整及支出调整手续完备；项目合同书、验收报告、技术鉴定等资料齐全并及时归档；项目实施的人员条件、场地设备、信息支撑等落实到位。</w:t>
      </w:r>
    </w:p>
    <w:p>
      <w:pPr>
        <w:pStyle w:val="5"/>
        <w:spacing w:line="360" w:lineRule="auto"/>
        <w:rPr>
          <w:rFonts w:hint="eastAsia" w:ascii="仿宋_GB2312" w:eastAsia="仿宋_GB2312"/>
          <w:b w:val="0"/>
          <w:bCs w:val="0"/>
        </w:rPr>
      </w:pPr>
      <w:r>
        <w:rPr>
          <w:rFonts w:hint="eastAsia" w:ascii="仿宋_GB2312" w:eastAsia="仿宋_GB2312"/>
          <w:b w:val="0"/>
          <w:bCs w:val="0"/>
        </w:rPr>
        <w:t>（三）项目产出情况。</w:t>
      </w:r>
      <w:bookmarkEnd w:id="14"/>
    </w:p>
    <w:p>
      <w:pPr>
        <w:spacing w:line="360" w:lineRule="auto"/>
        <w:ind w:firstLine="600" w:firstLineChars="200"/>
        <w:rPr>
          <w:color w:val="auto"/>
        </w:rPr>
      </w:pPr>
      <w:r>
        <w:rPr>
          <w:rFonts w:hint="eastAsia"/>
          <w:color w:val="auto"/>
        </w:rPr>
        <w:t>1</w:t>
      </w:r>
      <w:r>
        <w:rPr>
          <w:rFonts w:hint="eastAsia"/>
          <w:color w:val="auto"/>
          <w:lang w:val="en-US" w:eastAsia="zh-CN"/>
        </w:rPr>
        <w:t>.</w:t>
      </w:r>
      <w:r>
        <w:rPr>
          <w:rFonts w:hint="eastAsia"/>
          <w:color w:val="auto"/>
        </w:rPr>
        <w:t>数量指标：指标1：农村公益设施建设数量（个），指标值：</w:t>
      </w:r>
      <w:r>
        <w:rPr>
          <w:rFonts w:hint="eastAsia"/>
          <w:color w:val="auto"/>
          <w:lang w:val="en-US" w:eastAsia="zh-CN"/>
        </w:rPr>
        <w:t>2个</w:t>
      </w:r>
      <w:r>
        <w:rPr>
          <w:rFonts w:hint="eastAsia"/>
          <w:color w:val="auto"/>
        </w:rPr>
        <w:t>，实际完成值</w:t>
      </w:r>
      <w:r>
        <w:rPr>
          <w:rFonts w:hint="eastAsia"/>
          <w:color w:val="auto"/>
          <w:lang w:val="en-US" w:eastAsia="zh-CN"/>
        </w:rPr>
        <w:t>2个</w:t>
      </w:r>
      <w:r>
        <w:rPr>
          <w:rFonts w:hint="eastAsia"/>
          <w:color w:val="auto"/>
        </w:rPr>
        <w:t>，指标完成率</w:t>
      </w:r>
      <w:r>
        <w:rPr>
          <w:rFonts w:hint="eastAsia"/>
          <w:color w:val="auto"/>
          <w:lang w:val="en-US" w:eastAsia="zh-CN"/>
        </w:rPr>
        <w:t>100</w:t>
      </w:r>
      <w:r>
        <w:rPr>
          <w:rFonts w:hint="eastAsia"/>
          <w:color w:val="auto"/>
        </w:rPr>
        <w:t>%</w:t>
      </w:r>
      <w:r>
        <w:rPr>
          <w:rFonts w:hint="eastAsia"/>
          <w:color w:val="auto"/>
          <w:lang w:eastAsia="zh-CN"/>
        </w:rPr>
        <w:t>，</w:t>
      </w:r>
      <w:r>
        <w:rPr>
          <w:rFonts w:hint="eastAsia"/>
          <w:color w:val="auto"/>
        </w:rPr>
        <w:t>偏差原因：</w:t>
      </w:r>
      <w:r>
        <w:rPr>
          <w:rFonts w:hint="eastAsia"/>
          <w:color w:val="auto"/>
          <w:lang w:val="en-US" w:eastAsia="zh-CN"/>
        </w:rPr>
        <w:t>无</w:t>
      </w:r>
      <w:r>
        <w:rPr>
          <w:rFonts w:hint="eastAsia"/>
          <w:color w:val="auto"/>
        </w:rPr>
        <w:t>；指标</w:t>
      </w:r>
      <w:r>
        <w:rPr>
          <w:rFonts w:hint="eastAsia"/>
          <w:color w:val="auto"/>
          <w:lang w:val="en-US" w:eastAsia="zh-CN"/>
        </w:rPr>
        <w:t>2</w:t>
      </w:r>
      <w:r>
        <w:rPr>
          <w:rFonts w:hint="eastAsia"/>
          <w:color w:val="auto"/>
        </w:rPr>
        <w:t>：防渗渠项目建设长度，指标值：</w:t>
      </w:r>
      <w:r>
        <w:rPr>
          <w:rFonts w:hint="eastAsia"/>
          <w:color w:val="auto"/>
          <w:lang w:val="en-US" w:eastAsia="zh-CN"/>
        </w:rPr>
        <w:t>427米</w:t>
      </w:r>
      <w:r>
        <w:rPr>
          <w:rFonts w:hint="eastAsia"/>
          <w:color w:val="auto"/>
        </w:rPr>
        <w:t>，实际完成值</w:t>
      </w:r>
      <w:r>
        <w:rPr>
          <w:rFonts w:hint="eastAsia"/>
          <w:color w:val="auto"/>
          <w:lang w:val="en-US" w:eastAsia="zh-CN"/>
        </w:rPr>
        <w:t>351.2米</w:t>
      </w:r>
      <w:r>
        <w:rPr>
          <w:rFonts w:hint="eastAsia"/>
          <w:color w:val="auto"/>
        </w:rPr>
        <w:t>，指标完成率</w:t>
      </w:r>
      <w:r>
        <w:rPr>
          <w:rFonts w:hint="eastAsia"/>
          <w:color w:val="auto"/>
          <w:lang w:val="en-US" w:eastAsia="zh-CN"/>
        </w:rPr>
        <w:t>82.25</w:t>
      </w:r>
      <w:r>
        <w:rPr>
          <w:rFonts w:hint="eastAsia"/>
          <w:color w:val="auto"/>
        </w:rPr>
        <w:t>%</w:t>
      </w:r>
      <w:r>
        <w:rPr>
          <w:rFonts w:hint="eastAsia"/>
          <w:color w:val="auto"/>
          <w:lang w:eastAsia="zh-CN"/>
        </w:rPr>
        <w:t>，</w:t>
      </w:r>
      <w:r>
        <w:rPr>
          <w:rFonts w:hint="eastAsia"/>
          <w:color w:val="auto"/>
        </w:rPr>
        <w:t>偏差原因：</w:t>
      </w:r>
      <w:r>
        <w:rPr>
          <w:rFonts w:hint="eastAsia"/>
          <w:color w:val="auto"/>
          <w:lang w:val="en-US" w:eastAsia="zh-CN"/>
        </w:rPr>
        <w:t>优化了渠道走向，因此减少了渠道长度</w:t>
      </w:r>
      <w:r>
        <w:rPr>
          <w:rFonts w:hint="eastAsia"/>
          <w:color w:val="auto"/>
        </w:rPr>
        <w:t>；指标</w:t>
      </w:r>
      <w:r>
        <w:rPr>
          <w:rFonts w:hint="eastAsia"/>
          <w:color w:val="auto"/>
          <w:lang w:val="en-US" w:eastAsia="zh-CN"/>
        </w:rPr>
        <w:t>3</w:t>
      </w:r>
      <w:r>
        <w:rPr>
          <w:rFonts w:hint="eastAsia"/>
          <w:color w:val="auto"/>
        </w:rPr>
        <w:t>：人行道项目建设长度，指标值：</w:t>
      </w:r>
      <w:r>
        <w:rPr>
          <w:rFonts w:hint="eastAsia"/>
          <w:color w:val="auto"/>
          <w:lang w:val="en-US" w:eastAsia="zh-CN"/>
        </w:rPr>
        <w:t>8486米</w:t>
      </w:r>
      <w:r>
        <w:rPr>
          <w:rFonts w:hint="eastAsia"/>
          <w:color w:val="auto"/>
        </w:rPr>
        <w:t>，实际完成值</w:t>
      </w:r>
      <w:r>
        <w:rPr>
          <w:rFonts w:hint="eastAsia"/>
          <w:color w:val="auto"/>
          <w:lang w:val="en-US" w:eastAsia="zh-CN"/>
        </w:rPr>
        <w:t>7000平方米</w:t>
      </w:r>
      <w:r>
        <w:rPr>
          <w:rFonts w:hint="eastAsia"/>
          <w:color w:val="auto"/>
        </w:rPr>
        <w:t>，指标完成率</w:t>
      </w:r>
      <w:r>
        <w:rPr>
          <w:rFonts w:hint="eastAsia"/>
          <w:color w:val="auto"/>
          <w:lang w:val="en-US" w:eastAsia="zh-CN"/>
        </w:rPr>
        <w:t>100</w:t>
      </w:r>
      <w:r>
        <w:rPr>
          <w:rFonts w:hint="eastAsia"/>
          <w:color w:val="auto"/>
        </w:rPr>
        <w:t>%</w:t>
      </w:r>
      <w:r>
        <w:rPr>
          <w:rFonts w:hint="eastAsia"/>
          <w:color w:val="auto"/>
          <w:lang w:eastAsia="zh-CN"/>
        </w:rPr>
        <w:t>，</w:t>
      </w:r>
      <w:r>
        <w:rPr>
          <w:rFonts w:hint="eastAsia"/>
          <w:color w:val="auto"/>
        </w:rPr>
        <w:t>偏差原因：</w:t>
      </w:r>
      <w:r>
        <w:rPr>
          <w:rFonts w:hint="eastAsia"/>
          <w:color w:val="auto"/>
          <w:lang w:eastAsia="zh-CN"/>
        </w:rPr>
        <w:t>因口罩原因还未完工。</w:t>
      </w:r>
    </w:p>
    <w:p>
      <w:pPr>
        <w:spacing w:line="360" w:lineRule="auto"/>
        <w:ind w:firstLine="600" w:firstLineChars="200"/>
        <w:rPr>
          <w:color w:val="FF0000"/>
        </w:rPr>
      </w:pPr>
      <w:r>
        <w:rPr>
          <w:color w:val="auto"/>
        </w:rPr>
        <w:t>2</w:t>
      </w:r>
      <w:r>
        <w:rPr>
          <w:rFonts w:hint="eastAsia"/>
          <w:color w:val="auto"/>
          <w:lang w:val="en-US" w:eastAsia="zh-CN"/>
        </w:rPr>
        <w:t>.</w:t>
      </w:r>
      <w:r>
        <w:rPr>
          <w:rFonts w:hint="eastAsia"/>
          <w:color w:val="auto"/>
        </w:rPr>
        <w:t>质量指标：指标1：农村综合改革转移支付资金台账建设完成率，指标值：</w:t>
      </w:r>
      <w:r>
        <w:rPr>
          <w:rFonts w:hint="eastAsia"/>
          <w:color w:val="auto"/>
          <w:lang w:val="en-US" w:eastAsia="zh-CN"/>
        </w:rPr>
        <w:t>100%</w:t>
      </w:r>
      <w:r>
        <w:rPr>
          <w:rFonts w:hint="eastAsia"/>
          <w:color w:val="auto"/>
        </w:rPr>
        <w:t>，实际完成值</w:t>
      </w:r>
      <w:r>
        <w:rPr>
          <w:rFonts w:hint="eastAsia"/>
          <w:color w:val="auto"/>
          <w:lang w:val="en-US" w:eastAsia="zh-CN"/>
        </w:rPr>
        <w:t>100%</w:t>
      </w:r>
      <w:r>
        <w:rPr>
          <w:rFonts w:hint="eastAsia"/>
          <w:color w:val="auto"/>
        </w:rPr>
        <w:t>，指标完成率</w:t>
      </w:r>
      <w:r>
        <w:rPr>
          <w:rFonts w:hint="eastAsia"/>
          <w:color w:val="auto"/>
          <w:lang w:val="en-US" w:eastAsia="zh-CN"/>
        </w:rPr>
        <w:t>100</w:t>
      </w:r>
      <w:r>
        <w:rPr>
          <w:rFonts w:hint="eastAsia"/>
          <w:color w:val="auto"/>
        </w:rPr>
        <w:t>%</w:t>
      </w:r>
      <w:r>
        <w:rPr>
          <w:rFonts w:hint="eastAsia"/>
          <w:color w:val="auto"/>
          <w:lang w:eastAsia="zh-CN"/>
        </w:rPr>
        <w:t>，</w:t>
      </w:r>
      <w:r>
        <w:rPr>
          <w:rFonts w:hint="eastAsia"/>
          <w:color w:val="auto"/>
        </w:rPr>
        <w:t>偏差原因：</w:t>
      </w:r>
      <w:r>
        <w:rPr>
          <w:rFonts w:hint="eastAsia"/>
          <w:color w:val="auto"/>
          <w:lang w:val="en-US" w:eastAsia="zh-CN"/>
        </w:rPr>
        <w:t>无</w:t>
      </w:r>
      <w:r>
        <w:rPr>
          <w:rFonts w:hint="eastAsia"/>
          <w:color w:val="auto"/>
        </w:rPr>
        <w:t>；指标</w:t>
      </w:r>
      <w:r>
        <w:rPr>
          <w:rFonts w:hint="eastAsia"/>
          <w:color w:val="auto"/>
          <w:lang w:val="en-US" w:eastAsia="zh-CN"/>
        </w:rPr>
        <w:t>2</w:t>
      </w:r>
      <w:r>
        <w:rPr>
          <w:rFonts w:hint="eastAsia"/>
          <w:color w:val="auto"/>
        </w:rPr>
        <w:t>：工程验收合格率，指标值：</w:t>
      </w:r>
      <w:r>
        <w:rPr>
          <w:rFonts w:hint="eastAsia"/>
          <w:color w:val="auto"/>
          <w:lang w:val="en-US" w:eastAsia="zh-CN"/>
        </w:rPr>
        <w:t>100%</w:t>
      </w:r>
      <w:r>
        <w:rPr>
          <w:rFonts w:hint="eastAsia"/>
          <w:color w:val="auto"/>
        </w:rPr>
        <w:t>，实际完成值</w:t>
      </w:r>
      <w:r>
        <w:rPr>
          <w:rFonts w:hint="eastAsia"/>
          <w:color w:val="auto"/>
          <w:lang w:val="en-US" w:eastAsia="zh-CN"/>
        </w:rPr>
        <w:t>50%</w:t>
      </w:r>
      <w:r>
        <w:rPr>
          <w:rFonts w:hint="eastAsia"/>
          <w:color w:val="auto"/>
        </w:rPr>
        <w:t>，指标完成率</w:t>
      </w:r>
      <w:r>
        <w:rPr>
          <w:rFonts w:hint="eastAsia"/>
          <w:color w:val="auto"/>
          <w:lang w:val="en-US" w:eastAsia="zh-CN"/>
        </w:rPr>
        <w:t>50</w:t>
      </w:r>
      <w:r>
        <w:rPr>
          <w:rFonts w:hint="eastAsia"/>
          <w:color w:val="auto"/>
        </w:rPr>
        <w:t>%</w:t>
      </w:r>
      <w:r>
        <w:rPr>
          <w:rFonts w:hint="eastAsia"/>
          <w:color w:val="auto"/>
          <w:lang w:eastAsia="zh-CN"/>
        </w:rPr>
        <w:t>，</w:t>
      </w:r>
      <w:r>
        <w:rPr>
          <w:rFonts w:hint="eastAsia"/>
          <w:color w:val="auto"/>
        </w:rPr>
        <w:t>偏差原因：</w:t>
      </w:r>
      <w:r>
        <w:rPr>
          <w:rFonts w:hint="eastAsia"/>
          <w:color w:val="auto"/>
          <w:lang w:eastAsia="zh-CN"/>
        </w:rPr>
        <w:t>因口罩原因还未完工</w:t>
      </w:r>
      <w:r>
        <w:rPr>
          <w:rFonts w:hint="eastAsia"/>
          <w:color w:val="auto"/>
        </w:rPr>
        <w:t>；</w:t>
      </w:r>
    </w:p>
    <w:p>
      <w:pPr>
        <w:spacing w:line="360" w:lineRule="auto"/>
        <w:ind w:firstLine="600" w:firstLineChars="200"/>
        <w:rPr>
          <w:rFonts w:hint="eastAsia" w:eastAsia="仿宋_GB2312"/>
          <w:color w:val="FF0000"/>
          <w:lang w:eastAsia="zh-CN"/>
        </w:rPr>
      </w:pPr>
      <w:r>
        <w:rPr>
          <w:rFonts w:hint="eastAsia"/>
          <w:color w:val="auto"/>
        </w:rPr>
        <w:t>3</w:t>
      </w:r>
      <w:r>
        <w:rPr>
          <w:rFonts w:hint="eastAsia"/>
          <w:color w:val="auto"/>
          <w:lang w:val="en-US" w:eastAsia="zh-CN"/>
        </w:rPr>
        <w:t>.</w:t>
      </w:r>
      <w:r>
        <w:rPr>
          <w:rFonts w:hint="eastAsia"/>
          <w:color w:val="auto"/>
        </w:rPr>
        <w:t>时效指标：指标1：截止2022年底，年度农村综合改革转移支付资金执行率，指标值：</w:t>
      </w:r>
      <w:r>
        <w:rPr>
          <w:rFonts w:hint="eastAsia"/>
          <w:color w:val="auto"/>
          <w:lang w:val="en-US" w:eastAsia="zh-CN"/>
        </w:rPr>
        <w:t>0</w:t>
      </w:r>
      <w:r>
        <w:rPr>
          <w:rFonts w:hint="eastAsia"/>
          <w:color w:val="auto"/>
        </w:rPr>
        <w:t>，实际完成值</w:t>
      </w:r>
      <w:r>
        <w:rPr>
          <w:rFonts w:hint="eastAsia"/>
          <w:color w:val="auto"/>
          <w:lang w:val="en-US" w:eastAsia="zh-CN"/>
        </w:rPr>
        <w:t>0</w:t>
      </w:r>
      <w:r>
        <w:rPr>
          <w:rFonts w:hint="eastAsia"/>
          <w:color w:val="auto"/>
        </w:rPr>
        <w:t>，指标完成率</w:t>
      </w:r>
      <w:r>
        <w:rPr>
          <w:rFonts w:hint="eastAsia"/>
          <w:color w:val="auto"/>
          <w:lang w:val="en-US" w:eastAsia="zh-CN"/>
        </w:rPr>
        <w:t>100</w:t>
      </w:r>
      <w:r>
        <w:rPr>
          <w:rFonts w:hint="eastAsia"/>
          <w:color w:val="auto"/>
        </w:rPr>
        <w:t>%</w:t>
      </w:r>
      <w:r>
        <w:rPr>
          <w:rFonts w:hint="eastAsia"/>
          <w:color w:val="auto"/>
          <w:lang w:eastAsia="zh-CN"/>
        </w:rPr>
        <w:t>，</w:t>
      </w:r>
      <w:r>
        <w:rPr>
          <w:rFonts w:hint="eastAsia"/>
          <w:color w:val="auto"/>
        </w:rPr>
        <w:t>偏差原因：</w:t>
      </w:r>
      <w:r>
        <w:rPr>
          <w:rFonts w:hint="eastAsia"/>
          <w:color w:val="auto"/>
          <w:lang w:val="en-US" w:eastAsia="zh-CN"/>
        </w:rPr>
        <w:t>无</w:t>
      </w:r>
      <w:r>
        <w:rPr>
          <w:rFonts w:hint="eastAsia"/>
          <w:color w:val="auto"/>
        </w:rPr>
        <w:t>；指标</w:t>
      </w:r>
      <w:r>
        <w:rPr>
          <w:rFonts w:hint="eastAsia"/>
          <w:color w:val="auto"/>
          <w:lang w:val="en-US" w:eastAsia="zh-CN"/>
        </w:rPr>
        <w:t>2</w:t>
      </w:r>
      <w:r>
        <w:rPr>
          <w:rFonts w:hint="eastAsia"/>
          <w:color w:val="auto"/>
        </w:rPr>
        <w:t>：各县市试点村上报试点工作方案及时率，指标值：</w:t>
      </w:r>
      <w:r>
        <w:rPr>
          <w:rFonts w:hint="eastAsia"/>
          <w:color w:val="auto"/>
          <w:lang w:val="en-US" w:eastAsia="zh-CN"/>
        </w:rPr>
        <w:t>0</w:t>
      </w:r>
      <w:r>
        <w:rPr>
          <w:rFonts w:hint="eastAsia"/>
          <w:color w:val="auto"/>
        </w:rPr>
        <w:t>，实际完成值</w:t>
      </w:r>
      <w:r>
        <w:rPr>
          <w:rFonts w:hint="eastAsia"/>
          <w:color w:val="auto"/>
          <w:lang w:val="en-US" w:eastAsia="zh-CN"/>
        </w:rPr>
        <w:t>0</w:t>
      </w:r>
      <w:r>
        <w:rPr>
          <w:rFonts w:hint="eastAsia"/>
          <w:color w:val="auto"/>
        </w:rPr>
        <w:t>，指标完成率</w:t>
      </w:r>
      <w:r>
        <w:rPr>
          <w:rFonts w:hint="eastAsia"/>
          <w:color w:val="auto"/>
          <w:lang w:val="en-US" w:eastAsia="zh-CN"/>
        </w:rPr>
        <w:t>100</w:t>
      </w:r>
      <w:r>
        <w:rPr>
          <w:rFonts w:hint="eastAsia"/>
          <w:color w:val="auto"/>
        </w:rPr>
        <w:t>%</w:t>
      </w:r>
      <w:r>
        <w:rPr>
          <w:rFonts w:hint="eastAsia"/>
          <w:color w:val="auto"/>
          <w:lang w:eastAsia="zh-CN"/>
        </w:rPr>
        <w:t>，</w:t>
      </w:r>
      <w:r>
        <w:rPr>
          <w:rFonts w:hint="eastAsia"/>
          <w:color w:val="auto"/>
        </w:rPr>
        <w:t>偏差原因：</w:t>
      </w:r>
      <w:r>
        <w:rPr>
          <w:rFonts w:hint="eastAsia"/>
          <w:color w:val="auto"/>
          <w:lang w:val="en-US" w:eastAsia="zh-CN"/>
        </w:rPr>
        <w:t>无</w:t>
      </w:r>
      <w:r>
        <w:rPr>
          <w:rFonts w:hint="eastAsia"/>
          <w:color w:val="auto"/>
        </w:rPr>
        <w:t>；指标</w:t>
      </w:r>
      <w:r>
        <w:rPr>
          <w:rFonts w:hint="eastAsia"/>
          <w:color w:val="auto"/>
          <w:lang w:val="en-US" w:eastAsia="zh-CN"/>
        </w:rPr>
        <w:t>3</w:t>
      </w:r>
      <w:r>
        <w:rPr>
          <w:rFonts w:hint="eastAsia"/>
          <w:color w:val="auto"/>
        </w:rPr>
        <w:t>：项目按时开工率，指标值：</w:t>
      </w:r>
      <w:r>
        <w:rPr>
          <w:rFonts w:hint="eastAsia"/>
          <w:color w:val="auto"/>
          <w:lang w:val="en-US" w:eastAsia="zh-CN"/>
        </w:rPr>
        <w:t>100%</w:t>
      </w:r>
      <w:r>
        <w:rPr>
          <w:rFonts w:hint="eastAsia"/>
          <w:color w:val="auto"/>
        </w:rPr>
        <w:t>，实际完成值</w:t>
      </w:r>
      <w:r>
        <w:rPr>
          <w:rFonts w:hint="eastAsia"/>
          <w:color w:val="auto"/>
          <w:lang w:val="en-US" w:eastAsia="zh-CN"/>
        </w:rPr>
        <w:t>100%</w:t>
      </w:r>
      <w:r>
        <w:rPr>
          <w:rFonts w:hint="eastAsia"/>
          <w:color w:val="auto"/>
        </w:rPr>
        <w:t>，指标完成率</w:t>
      </w:r>
      <w:r>
        <w:rPr>
          <w:rFonts w:hint="eastAsia"/>
          <w:color w:val="auto"/>
          <w:lang w:val="en-US" w:eastAsia="zh-CN"/>
        </w:rPr>
        <w:t>100</w:t>
      </w:r>
      <w:r>
        <w:rPr>
          <w:rFonts w:hint="eastAsia"/>
          <w:color w:val="auto"/>
        </w:rPr>
        <w:t>%</w:t>
      </w:r>
      <w:r>
        <w:rPr>
          <w:rFonts w:hint="eastAsia"/>
          <w:color w:val="auto"/>
          <w:lang w:eastAsia="zh-CN"/>
        </w:rPr>
        <w:t>，</w:t>
      </w:r>
      <w:r>
        <w:rPr>
          <w:rFonts w:hint="eastAsia"/>
          <w:color w:val="auto"/>
        </w:rPr>
        <w:t>偏差原因：</w:t>
      </w:r>
      <w:r>
        <w:rPr>
          <w:rFonts w:hint="eastAsia"/>
          <w:color w:val="auto"/>
          <w:lang w:eastAsia="zh-CN"/>
        </w:rPr>
        <w:t>无；</w:t>
      </w:r>
      <w:r>
        <w:rPr>
          <w:rFonts w:hint="eastAsia"/>
          <w:color w:val="auto"/>
        </w:rPr>
        <w:t>指标</w:t>
      </w:r>
      <w:r>
        <w:rPr>
          <w:rFonts w:hint="eastAsia"/>
          <w:color w:val="auto"/>
          <w:lang w:val="en-US" w:eastAsia="zh-CN"/>
        </w:rPr>
        <w:t>4</w:t>
      </w:r>
      <w:r>
        <w:rPr>
          <w:rFonts w:hint="eastAsia"/>
          <w:color w:val="auto"/>
        </w:rPr>
        <w:t>：项目按计划完工率，指标值：</w:t>
      </w:r>
      <w:r>
        <w:rPr>
          <w:rFonts w:hint="eastAsia"/>
          <w:color w:val="auto"/>
          <w:lang w:val="en-US" w:eastAsia="zh-CN"/>
        </w:rPr>
        <w:t>100%</w:t>
      </w:r>
      <w:r>
        <w:rPr>
          <w:rFonts w:hint="eastAsia"/>
          <w:color w:val="auto"/>
        </w:rPr>
        <w:t>，实际完成值</w:t>
      </w:r>
      <w:r>
        <w:rPr>
          <w:rFonts w:hint="eastAsia"/>
          <w:color w:val="auto"/>
          <w:lang w:val="en-US" w:eastAsia="zh-CN"/>
        </w:rPr>
        <w:t>100%</w:t>
      </w:r>
      <w:r>
        <w:rPr>
          <w:rFonts w:hint="eastAsia"/>
          <w:color w:val="auto"/>
        </w:rPr>
        <w:t>，指标完成率</w:t>
      </w:r>
      <w:r>
        <w:rPr>
          <w:rFonts w:hint="eastAsia"/>
          <w:color w:val="auto"/>
          <w:lang w:val="en-US" w:eastAsia="zh-CN"/>
        </w:rPr>
        <w:t>100</w:t>
      </w:r>
      <w:r>
        <w:rPr>
          <w:rFonts w:hint="eastAsia"/>
          <w:color w:val="auto"/>
        </w:rPr>
        <w:t>%</w:t>
      </w:r>
      <w:r>
        <w:rPr>
          <w:rFonts w:hint="eastAsia"/>
          <w:color w:val="auto"/>
          <w:lang w:eastAsia="zh-CN"/>
        </w:rPr>
        <w:t>，</w:t>
      </w:r>
      <w:r>
        <w:rPr>
          <w:rFonts w:hint="eastAsia"/>
          <w:color w:val="auto"/>
        </w:rPr>
        <w:t>偏差原因：</w:t>
      </w:r>
      <w:r>
        <w:rPr>
          <w:rFonts w:hint="eastAsia"/>
          <w:color w:val="auto"/>
          <w:lang w:val="en-US" w:eastAsia="zh-CN"/>
        </w:rPr>
        <w:t>无</w:t>
      </w:r>
      <w:r>
        <w:rPr>
          <w:rFonts w:hint="eastAsia"/>
          <w:color w:val="auto"/>
          <w:lang w:eastAsia="zh-CN"/>
        </w:rPr>
        <w:t>。</w:t>
      </w:r>
    </w:p>
    <w:p>
      <w:pPr>
        <w:spacing w:line="360" w:lineRule="auto"/>
        <w:ind w:firstLine="600" w:firstLineChars="200"/>
        <w:rPr>
          <w:rFonts w:hint="eastAsia" w:eastAsia="仿宋_GB2312"/>
          <w:lang w:eastAsia="zh-CN"/>
        </w:rPr>
      </w:pPr>
      <w:r>
        <w:rPr>
          <w:rFonts w:hint="eastAsia"/>
          <w:color w:val="auto"/>
        </w:rPr>
        <w:t>4</w:t>
      </w:r>
      <w:r>
        <w:rPr>
          <w:rFonts w:hint="eastAsia"/>
          <w:color w:val="auto"/>
          <w:lang w:val="en-US" w:eastAsia="zh-CN"/>
        </w:rPr>
        <w:t>.</w:t>
      </w:r>
      <w:r>
        <w:rPr>
          <w:rFonts w:hint="eastAsia"/>
          <w:color w:val="auto"/>
        </w:rPr>
        <w:t>成本指标</w:t>
      </w:r>
      <w:r>
        <w:rPr>
          <w:rFonts w:hint="eastAsia"/>
          <w:color w:val="auto"/>
          <w:lang w:eastAsia="zh-CN"/>
        </w:rPr>
        <w:t>：</w:t>
      </w:r>
      <w:r>
        <w:rPr>
          <w:rFonts w:hint="eastAsia"/>
          <w:color w:val="auto"/>
        </w:rPr>
        <w:t>指标1：防渗渠项目建设资金，指标值：</w:t>
      </w:r>
      <w:r>
        <w:rPr>
          <w:rFonts w:hint="eastAsia"/>
          <w:color w:val="auto"/>
          <w:lang w:val="en-US" w:eastAsia="zh-CN"/>
        </w:rPr>
        <w:t>15万</w:t>
      </w:r>
      <w:r>
        <w:rPr>
          <w:rFonts w:hint="eastAsia"/>
          <w:color w:val="auto"/>
        </w:rPr>
        <w:t>，实际完成值</w:t>
      </w:r>
      <w:r>
        <w:rPr>
          <w:rFonts w:hint="eastAsia"/>
          <w:color w:val="auto"/>
          <w:lang w:val="en-US" w:eastAsia="zh-CN"/>
        </w:rPr>
        <w:t>11.140385万</w:t>
      </w:r>
      <w:r>
        <w:rPr>
          <w:rFonts w:hint="eastAsia"/>
          <w:color w:val="auto"/>
        </w:rPr>
        <w:t>，指标完成率</w:t>
      </w:r>
      <w:r>
        <w:rPr>
          <w:rFonts w:hint="eastAsia"/>
          <w:color w:val="auto"/>
          <w:lang w:val="en-US" w:eastAsia="zh-CN"/>
        </w:rPr>
        <w:t>74.3</w:t>
      </w:r>
      <w:r>
        <w:rPr>
          <w:rFonts w:hint="eastAsia"/>
          <w:color w:val="auto"/>
        </w:rPr>
        <w:t>%</w:t>
      </w:r>
      <w:r>
        <w:rPr>
          <w:rFonts w:hint="eastAsia"/>
          <w:color w:val="auto"/>
          <w:lang w:eastAsia="zh-CN"/>
        </w:rPr>
        <w:t>，</w:t>
      </w:r>
      <w:r>
        <w:rPr>
          <w:rFonts w:hint="eastAsia"/>
          <w:color w:val="auto"/>
        </w:rPr>
        <w:t>偏差原因：</w:t>
      </w:r>
      <w:r>
        <w:rPr>
          <w:rFonts w:hint="eastAsia"/>
          <w:color w:val="auto"/>
          <w:lang w:val="en-US" w:eastAsia="zh-CN"/>
        </w:rPr>
        <w:t>优化了渠道走向，因此减少了渠道长度，所以项目决算后价格低于预算价</w:t>
      </w:r>
      <w:r>
        <w:rPr>
          <w:rFonts w:hint="eastAsia"/>
          <w:color w:val="auto"/>
        </w:rPr>
        <w:t>；指标</w:t>
      </w:r>
      <w:r>
        <w:rPr>
          <w:rFonts w:hint="eastAsia"/>
          <w:color w:val="auto"/>
          <w:lang w:val="en-US" w:eastAsia="zh-CN"/>
        </w:rPr>
        <w:t>2</w:t>
      </w:r>
      <w:r>
        <w:rPr>
          <w:rFonts w:hint="eastAsia"/>
          <w:color w:val="auto"/>
        </w:rPr>
        <w:t>：人行道项目建设资金，指标值：</w:t>
      </w:r>
      <w:r>
        <w:rPr>
          <w:rFonts w:hint="eastAsia"/>
          <w:color w:val="auto"/>
          <w:lang w:val="en-US" w:eastAsia="zh-CN"/>
        </w:rPr>
        <w:t>30万</w:t>
      </w:r>
      <w:r>
        <w:rPr>
          <w:rFonts w:hint="eastAsia"/>
          <w:color w:val="auto"/>
        </w:rPr>
        <w:t>，实际完成值</w:t>
      </w:r>
      <w:r>
        <w:rPr>
          <w:rFonts w:hint="eastAsia"/>
          <w:color w:val="auto"/>
          <w:lang w:val="en-US" w:eastAsia="zh-CN"/>
        </w:rPr>
        <w:t>30万</w:t>
      </w:r>
      <w:r>
        <w:rPr>
          <w:rFonts w:hint="eastAsia"/>
          <w:color w:val="auto"/>
        </w:rPr>
        <w:t>，指标完成率</w:t>
      </w:r>
      <w:r>
        <w:rPr>
          <w:rFonts w:hint="eastAsia"/>
          <w:color w:val="auto"/>
          <w:lang w:val="en-US" w:eastAsia="zh-CN"/>
        </w:rPr>
        <w:t>100</w:t>
      </w:r>
      <w:r>
        <w:rPr>
          <w:rFonts w:hint="eastAsia"/>
          <w:color w:val="auto"/>
        </w:rPr>
        <w:t>%</w:t>
      </w:r>
      <w:r>
        <w:rPr>
          <w:rFonts w:hint="eastAsia"/>
          <w:color w:val="auto"/>
          <w:lang w:eastAsia="zh-CN"/>
        </w:rPr>
        <w:t>，</w:t>
      </w:r>
      <w:r>
        <w:rPr>
          <w:rFonts w:hint="eastAsia"/>
          <w:color w:val="auto"/>
        </w:rPr>
        <w:t>偏差原因：</w:t>
      </w:r>
      <w:r>
        <w:rPr>
          <w:rFonts w:hint="eastAsia"/>
          <w:color w:val="auto"/>
          <w:lang w:eastAsia="zh-CN"/>
        </w:rPr>
        <w:t>无</w:t>
      </w:r>
      <w:r>
        <w:rPr>
          <w:rFonts w:hint="eastAsia"/>
          <w:color w:val="auto"/>
        </w:rPr>
        <w:t>；</w:t>
      </w:r>
    </w:p>
    <w:p>
      <w:pPr>
        <w:pStyle w:val="5"/>
        <w:spacing w:line="360" w:lineRule="auto"/>
        <w:rPr>
          <w:rFonts w:hint="eastAsia" w:ascii="仿宋_GB2312" w:eastAsia="仿宋_GB2312"/>
          <w:b w:val="0"/>
          <w:bCs w:val="0"/>
        </w:rPr>
      </w:pPr>
      <w:bookmarkStart w:id="15" w:name="_Toc68703841"/>
      <w:r>
        <w:rPr>
          <w:rFonts w:hint="eastAsia" w:ascii="仿宋_GB2312" w:eastAsia="仿宋_GB2312"/>
          <w:b w:val="0"/>
          <w:bCs w:val="0"/>
        </w:rPr>
        <w:t>（四）项目效益情况。</w:t>
      </w:r>
      <w:bookmarkEnd w:id="15"/>
    </w:p>
    <w:p>
      <w:pPr>
        <w:spacing w:line="360" w:lineRule="auto"/>
        <w:ind w:firstLine="600" w:firstLineChars="200"/>
        <w:rPr>
          <w:rFonts w:hint="eastAsia"/>
          <w:color w:val="auto"/>
          <w:lang w:eastAsia="zh-CN"/>
        </w:rPr>
      </w:pPr>
      <w:r>
        <w:rPr>
          <w:rFonts w:hint="eastAsia"/>
          <w:color w:val="auto"/>
          <w:lang w:val="en-US" w:eastAsia="zh-CN"/>
        </w:rPr>
        <w:t>1.</w:t>
      </w:r>
      <w:r>
        <w:rPr>
          <w:rFonts w:hint="eastAsia"/>
          <w:color w:val="auto"/>
        </w:rPr>
        <w:t>社会效益指标：指标1：项目村基层组织的组织力凝聚力战斗力，指标值：</w:t>
      </w:r>
      <w:r>
        <w:rPr>
          <w:rFonts w:hint="eastAsia"/>
          <w:color w:val="auto"/>
          <w:lang w:val="en-US" w:eastAsia="zh-CN"/>
        </w:rPr>
        <w:t>有所增强</w:t>
      </w:r>
      <w:r>
        <w:rPr>
          <w:rFonts w:hint="eastAsia"/>
          <w:color w:val="auto"/>
        </w:rPr>
        <w:t>，实际完成值</w:t>
      </w:r>
      <w:r>
        <w:rPr>
          <w:rFonts w:hint="eastAsia"/>
          <w:color w:val="auto"/>
          <w:lang w:val="en-US" w:eastAsia="zh-CN"/>
        </w:rPr>
        <w:t>有所增强</w:t>
      </w:r>
      <w:r>
        <w:rPr>
          <w:color w:val="auto"/>
        </w:rPr>
        <w:t xml:space="preserve"> </w:t>
      </w:r>
      <w:r>
        <w:rPr>
          <w:rFonts w:hint="eastAsia"/>
          <w:color w:val="auto"/>
        </w:rPr>
        <w:t>，指标完成率</w:t>
      </w:r>
      <w:r>
        <w:rPr>
          <w:rFonts w:hint="eastAsia"/>
          <w:color w:val="auto"/>
          <w:lang w:val="en-US" w:eastAsia="zh-CN"/>
        </w:rPr>
        <w:t>100</w:t>
      </w:r>
      <w:r>
        <w:rPr>
          <w:rFonts w:hint="eastAsia"/>
          <w:color w:val="auto"/>
        </w:rPr>
        <w:t>%，偏差原因：</w:t>
      </w:r>
      <w:r>
        <w:rPr>
          <w:rFonts w:hint="eastAsia"/>
          <w:color w:val="auto"/>
          <w:lang w:eastAsia="zh-CN"/>
        </w:rPr>
        <w:t>无。</w:t>
      </w:r>
    </w:p>
    <w:p>
      <w:pPr>
        <w:spacing w:line="360" w:lineRule="auto"/>
        <w:ind w:firstLine="600" w:firstLineChars="200"/>
        <w:rPr>
          <w:color w:val="auto"/>
        </w:rPr>
      </w:pPr>
      <w:r>
        <w:rPr>
          <w:rFonts w:hint="eastAsia"/>
          <w:color w:val="auto"/>
          <w:lang w:val="en-US" w:eastAsia="zh-CN"/>
        </w:rPr>
        <w:t>2.</w:t>
      </w:r>
      <w:r>
        <w:rPr>
          <w:rFonts w:hint="eastAsia"/>
          <w:color w:val="auto"/>
        </w:rPr>
        <w:t>生态效益指标：指标1：农村人居环境，指标值：</w:t>
      </w:r>
      <w:r>
        <w:rPr>
          <w:rFonts w:hint="eastAsia"/>
          <w:color w:val="auto"/>
          <w:lang w:val="en-US" w:eastAsia="zh-CN"/>
        </w:rPr>
        <w:t>有所改善</w:t>
      </w:r>
      <w:r>
        <w:rPr>
          <w:rFonts w:hint="eastAsia"/>
          <w:color w:val="auto"/>
        </w:rPr>
        <w:t>，实际完成值</w:t>
      </w:r>
      <w:r>
        <w:rPr>
          <w:rFonts w:hint="eastAsia"/>
          <w:color w:val="auto"/>
          <w:lang w:val="en-US" w:eastAsia="zh-CN"/>
        </w:rPr>
        <w:t>有所改善</w:t>
      </w:r>
      <w:r>
        <w:rPr>
          <w:color w:val="auto"/>
        </w:rPr>
        <w:t xml:space="preserve"> </w:t>
      </w:r>
      <w:r>
        <w:rPr>
          <w:rFonts w:hint="eastAsia"/>
          <w:color w:val="auto"/>
        </w:rPr>
        <w:t>，指标完成率</w:t>
      </w:r>
      <w:r>
        <w:rPr>
          <w:rFonts w:hint="eastAsia"/>
          <w:color w:val="auto"/>
          <w:lang w:val="en-US" w:eastAsia="zh-CN"/>
        </w:rPr>
        <w:t>100</w:t>
      </w:r>
      <w:r>
        <w:rPr>
          <w:rFonts w:hint="eastAsia"/>
          <w:color w:val="auto"/>
        </w:rPr>
        <w:t>%，偏差原因：</w:t>
      </w:r>
      <w:r>
        <w:rPr>
          <w:rFonts w:hint="eastAsia"/>
          <w:color w:val="auto"/>
          <w:lang w:eastAsia="zh-CN"/>
        </w:rPr>
        <w:t>无。</w:t>
      </w:r>
    </w:p>
    <w:p>
      <w:pPr>
        <w:spacing w:line="360" w:lineRule="auto"/>
        <w:ind w:firstLine="600" w:firstLineChars="200"/>
        <w:rPr>
          <w:color w:val="auto"/>
        </w:rPr>
      </w:pPr>
      <w:r>
        <w:rPr>
          <w:rFonts w:hint="eastAsia"/>
          <w:color w:val="auto"/>
          <w:lang w:val="en-US" w:eastAsia="zh-CN"/>
        </w:rPr>
        <w:t>3.</w:t>
      </w:r>
      <w:r>
        <w:rPr>
          <w:rFonts w:hint="eastAsia"/>
          <w:color w:val="auto"/>
        </w:rPr>
        <w:t>可持续影响指标：指标1：农村综合改革转移支付滚动项目库建设率，指标值：</w:t>
      </w:r>
      <w:r>
        <w:rPr>
          <w:rFonts w:hint="eastAsia"/>
          <w:color w:val="auto"/>
          <w:lang w:val="en-US" w:eastAsia="zh-CN"/>
        </w:rPr>
        <w:t>100%</w:t>
      </w:r>
      <w:r>
        <w:rPr>
          <w:rFonts w:hint="eastAsia"/>
          <w:color w:val="auto"/>
        </w:rPr>
        <w:t>，实际完成值</w:t>
      </w:r>
      <w:r>
        <w:rPr>
          <w:rFonts w:hint="eastAsia"/>
          <w:color w:val="auto"/>
          <w:lang w:val="en-US" w:eastAsia="zh-CN"/>
        </w:rPr>
        <w:t>100%</w:t>
      </w:r>
      <w:r>
        <w:rPr>
          <w:color w:val="auto"/>
        </w:rPr>
        <w:t xml:space="preserve"> </w:t>
      </w:r>
      <w:r>
        <w:rPr>
          <w:rFonts w:hint="eastAsia"/>
          <w:color w:val="auto"/>
        </w:rPr>
        <w:t>，指标完成率</w:t>
      </w:r>
      <w:r>
        <w:rPr>
          <w:rFonts w:hint="eastAsia"/>
          <w:color w:val="auto"/>
          <w:lang w:val="en-US" w:eastAsia="zh-CN"/>
        </w:rPr>
        <w:t>100</w:t>
      </w:r>
      <w:r>
        <w:rPr>
          <w:rFonts w:hint="eastAsia"/>
          <w:color w:val="auto"/>
        </w:rPr>
        <w:t>%，偏差原因：</w:t>
      </w:r>
      <w:r>
        <w:rPr>
          <w:rFonts w:hint="eastAsia"/>
          <w:color w:val="auto"/>
          <w:lang w:eastAsia="zh-CN"/>
        </w:rPr>
        <w:t>无。</w:t>
      </w:r>
    </w:p>
    <w:p>
      <w:pPr>
        <w:spacing w:line="360" w:lineRule="auto"/>
        <w:ind w:firstLine="600" w:firstLineChars="200"/>
        <w:rPr>
          <w:color w:val="auto"/>
        </w:rPr>
      </w:pPr>
      <w:r>
        <w:rPr>
          <w:rFonts w:hint="eastAsia"/>
          <w:color w:val="auto"/>
          <w:lang w:val="en-US" w:eastAsia="zh-CN"/>
        </w:rPr>
        <w:t>4.</w:t>
      </w:r>
      <w:r>
        <w:rPr>
          <w:rFonts w:hint="eastAsia"/>
          <w:color w:val="auto"/>
        </w:rPr>
        <w:t>满意度指标：</w:t>
      </w:r>
    </w:p>
    <w:p>
      <w:pPr>
        <w:spacing w:line="360" w:lineRule="auto"/>
        <w:ind w:firstLine="600" w:firstLineChars="200"/>
        <w:rPr>
          <w:rFonts w:hint="eastAsia"/>
          <w:color w:val="auto"/>
          <w:highlight w:val="none"/>
          <w:lang w:eastAsia="zh-CN"/>
        </w:rPr>
      </w:pPr>
      <w:r>
        <w:rPr>
          <w:rFonts w:hint="eastAsia"/>
          <w:color w:val="auto"/>
          <w:highlight w:val="none"/>
        </w:rPr>
        <w:t>指标1：项目区收益农民满意度，指标值：</w:t>
      </w:r>
      <w:r>
        <w:rPr>
          <w:rFonts w:hint="eastAsia"/>
          <w:color w:val="auto"/>
          <w:highlight w:val="none"/>
          <w:lang w:val="en-US" w:eastAsia="zh-CN"/>
        </w:rPr>
        <w:t>≥99%</w:t>
      </w:r>
      <w:r>
        <w:rPr>
          <w:rFonts w:hint="eastAsia"/>
          <w:color w:val="auto"/>
          <w:highlight w:val="none"/>
        </w:rPr>
        <w:t>，实际完成值</w:t>
      </w:r>
      <w:r>
        <w:rPr>
          <w:rFonts w:hint="eastAsia"/>
          <w:color w:val="auto"/>
          <w:highlight w:val="none"/>
          <w:lang w:val="en-US" w:eastAsia="zh-CN"/>
        </w:rPr>
        <w:t>100%</w:t>
      </w:r>
      <w:r>
        <w:rPr>
          <w:color w:val="auto"/>
          <w:highlight w:val="none"/>
        </w:rPr>
        <w:t xml:space="preserve"> </w:t>
      </w:r>
      <w:r>
        <w:rPr>
          <w:rFonts w:hint="eastAsia"/>
          <w:color w:val="auto"/>
          <w:highlight w:val="none"/>
        </w:rPr>
        <w:t>，指标完成率</w:t>
      </w:r>
      <w:r>
        <w:rPr>
          <w:rFonts w:hint="eastAsia"/>
          <w:color w:val="auto"/>
          <w:highlight w:val="none"/>
          <w:lang w:val="en-US" w:eastAsia="zh-CN"/>
        </w:rPr>
        <w:t>101.01</w:t>
      </w:r>
      <w:r>
        <w:rPr>
          <w:rFonts w:hint="eastAsia"/>
          <w:color w:val="auto"/>
          <w:highlight w:val="none"/>
        </w:rPr>
        <w:t>%，偏差原因：</w:t>
      </w:r>
      <w:r>
        <w:rPr>
          <w:rFonts w:hint="eastAsia"/>
          <w:color w:val="auto"/>
          <w:highlight w:val="none"/>
          <w:lang w:eastAsia="zh-CN"/>
        </w:rPr>
        <w:t>无。</w:t>
      </w:r>
      <w:r>
        <w:rPr>
          <w:rFonts w:hint="eastAsia"/>
          <w:color w:val="auto"/>
          <w:highlight w:val="none"/>
        </w:rPr>
        <w:t>指标</w:t>
      </w:r>
      <w:r>
        <w:rPr>
          <w:rFonts w:hint="eastAsia"/>
          <w:color w:val="auto"/>
          <w:highlight w:val="none"/>
          <w:lang w:val="en-US" w:eastAsia="zh-CN"/>
        </w:rPr>
        <w:t>2</w:t>
      </w:r>
      <w:r>
        <w:rPr>
          <w:rFonts w:hint="eastAsia"/>
          <w:color w:val="auto"/>
          <w:highlight w:val="none"/>
        </w:rPr>
        <w:t>：项目区基层干部满意度，指标值：</w:t>
      </w:r>
      <w:r>
        <w:rPr>
          <w:rFonts w:hint="eastAsia"/>
          <w:color w:val="auto"/>
          <w:highlight w:val="none"/>
          <w:lang w:val="en-US" w:eastAsia="zh-CN"/>
        </w:rPr>
        <w:t>≥99%</w:t>
      </w:r>
      <w:r>
        <w:rPr>
          <w:rFonts w:hint="eastAsia"/>
          <w:color w:val="auto"/>
          <w:highlight w:val="none"/>
        </w:rPr>
        <w:t>，实际完成值</w:t>
      </w:r>
      <w:r>
        <w:rPr>
          <w:rFonts w:hint="eastAsia"/>
          <w:color w:val="auto"/>
          <w:highlight w:val="none"/>
          <w:lang w:val="en-US" w:eastAsia="zh-CN"/>
        </w:rPr>
        <w:t>100%</w:t>
      </w:r>
      <w:r>
        <w:rPr>
          <w:color w:val="auto"/>
          <w:highlight w:val="none"/>
        </w:rPr>
        <w:t xml:space="preserve"> </w:t>
      </w:r>
      <w:r>
        <w:rPr>
          <w:rFonts w:hint="eastAsia"/>
          <w:color w:val="auto"/>
          <w:highlight w:val="none"/>
        </w:rPr>
        <w:t>，指标完成率</w:t>
      </w:r>
      <w:r>
        <w:rPr>
          <w:rFonts w:hint="eastAsia"/>
          <w:color w:val="auto"/>
          <w:highlight w:val="none"/>
          <w:lang w:val="en-US" w:eastAsia="zh-CN"/>
        </w:rPr>
        <w:t>101.01</w:t>
      </w:r>
      <w:r>
        <w:rPr>
          <w:rFonts w:hint="eastAsia"/>
          <w:color w:val="auto"/>
          <w:highlight w:val="none"/>
        </w:rPr>
        <w:t>%，偏差原因：</w:t>
      </w:r>
      <w:r>
        <w:rPr>
          <w:rFonts w:hint="eastAsia"/>
          <w:color w:val="auto"/>
          <w:highlight w:val="none"/>
          <w:lang w:eastAsia="zh-CN"/>
        </w:rPr>
        <w:t>无。</w:t>
      </w:r>
    </w:p>
    <w:p>
      <w:pPr>
        <w:pStyle w:val="4"/>
        <w:spacing w:line="360" w:lineRule="auto"/>
        <w:rPr>
          <w:rFonts w:ascii="宋体" w:hAnsi="宋体" w:eastAsia="宋体"/>
          <w:sz w:val="32"/>
          <w:szCs w:val="32"/>
        </w:rPr>
      </w:pPr>
      <w:bookmarkStart w:id="16" w:name="_Toc68703842"/>
      <w:r>
        <w:rPr>
          <w:rFonts w:hint="eastAsia" w:ascii="宋体" w:hAnsi="宋体" w:eastAsia="宋体"/>
          <w:sz w:val="32"/>
          <w:szCs w:val="32"/>
        </w:rPr>
        <w:t>五、主要经验及做法、存在的问题及原因分析</w:t>
      </w:r>
      <w:bookmarkEnd w:id="16"/>
    </w:p>
    <w:p>
      <w:pPr>
        <w:pStyle w:val="5"/>
        <w:spacing w:line="360" w:lineRule="auto"/>
        <w:rPr>
          <w:rFonts w:hint="eastAsia" w:ascii="仿宋_GB2312" w:eastAsia="仿宋_GB2312"/>
          <w:b w:val="0"/>
          <w:bCs w:val="0"/>
        </w:rPr>
      </w:pPr>
      <w:bookmarkStart w:id="17" w:name="_Toc68703843"/>
      <w:r>
        <w:rPr>
          <w:rFonts w:hint="eastAsia" w:ascii="仿宋_GB2312" w:eastAsia="仿宋_GB2312"/>
          <w:b w:val="0"/>
          <w:bCs w:val="0"/>
        </w:rPr>
        <w:t>（一）主要经验及做法</w:t>
      </w:r>
      <w:bookmarkEnd w:id="17"/>
    </w:p>
    <w:p>
      <w:pPr>
        <w:pStyle w:val="5"/>
        <w:spacing w:line="360" w:lineRule="auto"/>
        <w:ind w:firstLine="600" w:firstLineChars="200"/>
        <w:rPr>
          <w:rFonts w:hint="eastAsia" w:ascii="Times New Roman" w:hAnsi="Times New Roman" w:eastAsia="仿宋_GB2312" w:cs="Times New Roman"/>
          <w:b w:val="0"/>
          <w:bCs w:val="0"/>
          <w:color w:val="auto"/>
          <w:kern w:val="2"/>
          <w:sz w:val="30"/>
          <w:szCs w:val="24"/>
          <w:highlight w:val="none"/>
          <w:lang w:val="en-US" w:eastAsia="zh-CN" w:bidi="ar-SA"/>
        </w:rPr>
      </w:pPr>
      <w:bookmarkStart w:id="18" w:name="_Toc68703844"/>
      <w:r>
        <w:rPr>
          <w:rFonts w:hint="eastAsia" w:ascii="Times New Roman" w:hAnsi="Times New Roman" w:eastAsia="仿宋_GB2312" w:cs="Times New Roman"/>
          <w:b w:val="0"/>
          <w:bCs w:val="0"/>
          <w:color w:val="auto"/>
          <w:kern w:val="2"/>
          <w:sz w:val="30"/>
          <w:szCs w:val="24"/>
          <w:highlight w:val="none"/>
          <w:lang w:val="en-US" w:eastAsia="zh-CN" w:bidi="ar-SA"/>
        </w:rPr>
        <w:t>霍城县三宫回族乡人民政府，新建下三宫防渗渠长427米，深0.6米，宽0.82米。通过农田灌溉防渗渠建设，可切实对下三宫村各族村民发展经济带来很好的基础和保障。最终实现从村容村貌的改变，实现整村的大变化，坚持以节水为中心，通过项目实施，完善居民区巷道渠系配套完善，减少原有土渠防渗和水土流失。项目实施后，将极大解决该村各族群众生产发展难题，为推进该村产业结构调整打好了基础，加快了农牧民增收步伐。使各少数民族群众感受到党和政府的温暖，有利于加强民族团结，产生极大的政治、社会效益。</w:t>
      </w:r>
    </w:p>
    <w:p>
      <w:pPr>
        <w:pStyle w:val="5"/>
        <w:numPr>
          <w:ilvl w:val="0"/>
          <w:numId w:val="1"/>
        </w:numPr>
        <w:spacing w:line="360" w:lineRule="auto"/>
        <w:rPr>
          <w:rFonts w:hint="eastAsia" w:ascii="仿宋_GB2312" w:eastAsia="仿宋_GB2312"/>
          <w:b w:val="0"/>
          <w:bCs w:val="0"/>
        </w:rPr>
      </w:pPr>
      <w:r>
        <w:rPr>
          <w:rFonts w:hint="eastAsia" w:ascii="仿宋_GB2312" w:eastAsia="仿宋_GB2312"/>
          <w:b w:val="0"/>
          <w:bCs w:val="0"/>
        </w:rPr>
        <w:t>存在的问题及原因分析</w:t>
      </w:r>
      <w:bookmarkEnd w:id="18"/>
    </w:p>
    <w:p>
      <w:pPr>
        <w:spacing w:line="360" w:lineRule="auto"/>
        <w:ind w:firstLine="600" w:firstLineChars="200"/>
        <w:rPr>
          <w:rFonts w:hint="eastAsia"/>
          <w:color w:val="auto"/>
          <w:highlight w:val="none"/>
          <w:lang w:val="en-US" w:eastAsia="zh-CN"/>
        </w:rPr>
      </w:pPr>
      <w:r>
        <w:rPr>
          <w:rFonts w:hint="eastAsia"/>
          <w:color w:val="auto"/>
          <w:highlight w:val="none"/>
          <w:lang w:val="en-US" w:eastAsia="zh-CN"/>
        </w:rPr>
        <w:t>存在的问题：成本指标中防渗渠项目建设资金的差异。</w:t>
      </w:r>
    </w:p>
    <w:p>
      <w:pPr>
        <w:spacing w:line="360" w:lineRule="auto"/>
        <w:ind w:firstLine="600" w:firstLineChars="200"/>
        <w:rPr>
          <w:rFonts w:hint="default"/>
          <w:color w:val="auto"/>
          <w:highlight w:val="none"/>
          <w:lang w:val="en-US" w:eastAsia="zh-CN"/>
        </w:rPr>
      </w:pPr>
      <w:r>
        <w:rPr>
          <w:rFonts w:hint="eastAsia"/>
          <w:color w:val="auto"/>
          <w:highlight w:val="none"/>
          <w:lang w:val="en-US" w:eastAsia="zh-CN"/>
        </w:rPr>
        <w:t>原因分析；是因为优化了渠道走向，减少了渠道长度，所以项目决算价低于预算价。</w:t>
      </w:r>
    </w:p>
    <w:p>
      <w:pPr>
        <w:pStyle w:val="4"/>
        <w:numPr>
          <w:ilvl w:val="0"/>
          <w:numId w:val="2"/>
        </w:numPr>
        <w:spacing w:line="360" w:lineRule="auto"/>
        <w:rPr>
          <w:rFonts w:hint="eastAsia" w:ascii="宋体" w:hAnsi="宋体" w:eastAsia="宋体"/>
          <w:sz w:val="32"/>
          <w:szCs w:val="32"/>
        </w:rPr>
      </w:pPr>
      <w:bookmarkStart w:id="19" w:name="_Toc68703845"/>
      <w:r>
        <w:rPr>
          <w:rFonts w:hint="eastAsia" w:ascii="宋体" w:hAnsi="宋体" w:eastAsia="宋体"/>
          <w:sz w:val="32"/>
          <w:szCs w:val="32"/>
        </w:rPr>
        <w:t>有关建议</w:t>
      </w:r>
      <w:bookmarkEnd w:id="19"/>
    </w:p>
    <w:p>
      <w:pPr>
        <w:spacing w:line="360" w:lineRule="auto"/>
        <w:ind w:firstLine="600" w:firstLineChars="200"/>
        <w:rPr>
          <w:rFonts w:hint="eastAsia"/>
          <w:color w:val="auto"/>
          <w:highlight w:val="none"/>
          <w:lang w:val="en-US" w:eastAsia="zh-CN"/>
        </w:rPr>
      </w:pPr>
      <w:r>
        <w:rPr>
          <w:rFonts w:hint="eastAsia"/>
          <w:color w:val="auto"/>
          <w:highlight w:val="none"/>
          <w:lang w:val="en-US" w:eastAsia="zh-CN"/>
        </w:rPr>
        <w:t>1、加强对项目业务人员的培训，提高项目管理水平。</w:t>
      </w:r>
    </w:p>
    <w:p>
      <w:pPr>
        <w:spacing w:line="360" w:lineRule="auto"/>
        <w:ind w:firstLine="600" w:firstLineChars="200"/>
        <w:rPr>
          <w:rFonts w:hint="default"/>
          <w:lang w:val="en-US" w:eastAsia="zh-CN"/>
        </w:rPr>
      </w:pPr>
      <w:r>
        <w:rPr>
          <w:rFonts w:hint="eastAsia"/>
          <w:color w:val="auto"/>
          <w:highlight w:val="none"/>
          <w:lang w:val="en-US" w:eastAsia="zh-CN"/>
        </w:rPr>
        <w:t>2、在项目管理中，对实施的项目进行全面部署，完善本单位项目</w:t>
      </w:r>
      <w:r>
        <w:rPr>
          <w:rFonts w:hint="eastAsia"/>
          <w:lang w:val="en-US" w:eastAsia="zh-CN"/>
        </w:rPr>
        <w:t>管理规章制度。</w:t>
      </w:r>
    </w:p>
    <w:p>
      <w:pPr>
        <w:pStyle w:val="4"/>
        <w:spacing w:line="360" w:lineRule="auto"/>
        <w:rPr>
          <w:rFonts w:ascii="宋体" w:hAnsi="宋体" w:eastAsia="宋体"/>
          <w:sz w:val="32"/>
          <w:szCs w:val="32"/>
        </w:rPr>
      </w:pPr>
      <w:bookmarkStart w:id="20" w:name="_Toc68703846"/>
      <w:r>
        <w:rPr>
          <w:rFonts w:hint="eastAsia" w:ascii="宋体" w:hAnsi="宋体" w:eastAsia="宋体"/>
          <w:sz w:val="32"/>
          <w:szCs w:val="32"/>
        </w:rPr>
        <w:t>七、其他需要说明的问题</w:t>
      </w:r>
      <w:bookmarkEnd w:id="20"/>
    </w:p>
    <w:p>
      <w:pPr>
        <w:spacing w:line="360" w:lineRule="auto"/>
        <w:rPr>
          <w:rFonts w:hint="eastAsia" w:eastAsia="仿宋_GB2312"/>
          <w:color w:val="auto"/>
          <w:lang w:eastAsia="zh-CN"/>
        </w:rPr>
      </w:pPr>
      <w:r>
        <w:rPr>
          <w:rFonts w:hint="eastAsia"/>
          <w:color w:val="auto"/>
          <w:lang w:eastAsia="zh-CN"/>
        </w:rPr>
        <w:t>无</w:t>
      </w:r>
    </w:p>
    <w:p/>
    <w:sectPr>
      <w:pgSz w:w="11906" w:h="16838"/>
      <w:pgMar w:top="1928" w:right="1531" w:bottom="1701" w:left="1531" w:header="737" w:footer="851" w:gutter="0"/>
      <w:cols w:space="720" w:num="1"/>
      <w:docGrid w:type="lines" w:linePitch="408"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等线">
    <w:altName w:val="微软雅黑"/>
    <w:panose1 w:val="02010600030101010101"/>
    <w:charset w:val="86"/>
    <w:family w:val="auto"/>
    <w:pitch w:val="default"/>
    <w:sig w:usb0="00000000" w:usb1="00000000" w:usb2="00000016" w:usb3="00000000" w:csb0="0004000F" w:csb1="00000000"/>
  </w:font>
  <w:font w:name="微软雅黑">
    <w:panose1 w:val="020B0503020204020204"/>
    <w:charset w:val="86"/>
    <w:family w:val="auto"/>
    <w:pitch w:val="default"/>
    <w:sig w:usb0="80000287" w:usb1="280F3C52" w:usb2="00000016" w:usb3="00000000" w:csb0="0004001F" w:csb1="00000000"/>
  </w:font>
  <w:font w:name="等线">
    <w:altName w:val="微软雅黑"/>
    <w:panose1 w:val="00000000000000000000"/>
    <w:charset w:val="86"/>
    <w:family w:val="auto"/>
    <w:pitch w:val="default"/>
    <w:sig w:usb0="00000000" w:usb1="00000000" w:usb2="00000000" w:usb3="00000000" w:csb0="00000000" w:csb1="00000000"/>
  </w:font>
  <w:font w:name="等线">
    <w:altName w:val="微软雅黑"/>
    <w:panose1 w:val="00000000000000000000"/>
    <w:charset w:val="00"/>
    <w:family w:val="auto"/>
    <w:pitch w:val="default"/>
    <w:sig w:usb0="00000000" w:usb1="00000000" w:usb2="00000000" w:usb3="00000000" w:csb0="00000000"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等线 Light">
    <w:altName w:val="宋体"/>
    <w:panose1 w:val="02010600030101010101"/>
    <w:charset w:val="86"/>
    <w:family w:val="auto"/>
    <w:pitch w:val="default"/>
    <w:sig w:usb0="00000000" w:usb1="00000000" w:usb2="00000016" w:usb3="00000000" w:csb0="0004000F" w:csb1="00000000"/>
  </w:font>
  <w:font w:name="红豆小标宋简体">
    <w:altName w:val="宋体"/>
    <w:panose1 w:val="02000509000000000000"/>
    <w:charset w:val="86"/>
    <w:family w:val="auto"/>
    <w:pitch w:val="default"/>
    <w:sig w:usb0="00000000" w:usb1="00000000" w:usb2="00000012" w:usb3="00000000" w:csb0="00040001" w:csb1="00000000"/>
  </w:font>
  <w:font w:name="等线 Light">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8E6FF4B"/>
    <w:multiLevelType w:val="singleLevel"/>
    <w:tmpl w:val="58E6FF4B"/>
    <w:lvl w:ilvl="0" w:tentative="0">
      <w:start w:val="6"/>
      <w:numFmt w:val="chineseCounting"/>
      <w:suff w:val="nothing"/>
      <w:lvlText w:val="%1、"/>
      <w:lvlJc w:val="left"/>
      <w:rPr>
        <w:rFonts w:hint="eastAsia"/>
      </w:rPr>
    </w:lvl>
  </w:abstractNum>
  <w:abstractNum w:abstractNumId="1">
    <w:nsid w:val="6A1FDD9A"/>
    <w:multiLevelType w:val="singleLevel"/>
    <w:tmpl w:val="6A1FDD9A"/>
    <w:lvl w:ilvl="0" w:tentative="0">
      <w:start w:val="2"/>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mFjYmM2MjBiNzM5YjdjZjM1N2JjYmFhZjY3YWVjMmIifQ=="/>
  </w:docVars>
  <w:rsids>
    <w:rsidRoot w:val="007D49C5"/>
    <w:rsid w:val="000D63FA"/>
    <w:rsid w:val="005B64E8"/>
    <w:rsid w:val="00614288"/>
    <w:rsid w:val="00792CFE"/>
    <w:rsid w:val="007D49C5"/>
    <w:rsid w:val="008175E0"/>
    <w:rsid w:val="008C631D"/>
    <w:rsid w:val="00A114ED"/>
    <w:rsid w:val="00B24331"/>
    <w:rsid w:val="0F2A6BF7"/>
    <w:rsid w:val="150D4D63"/>
    <w:rsid w:val="20E060C6"/>
    <w:rsid w:val="36B72533"/>
    <w:rsid w:val="3A54397A"/>
    <w:rsid w:val="4057649F"/>
    <w:rsid w:val="453C4C52"/>
    <w:rsid w:val="4DBC6E86"/>
    <w:rsid w:val="56796849"/>
    <w:rsid w:val="5DA95371"/>
    <w:rsid w:val="620B5412"/>
    <w:rsid w:val="6C092802"/>
    <w:rsid w:val="72DD253E"/>
    <w:rsid w:val="77FB25F1"/>
    <w:rsid w:val="7EDE320A"/>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nhideWhenUsed="0" w:uiPriority="0"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0"/>
      <w:szCs w:val="24"/>
      <w:lang w:val="en-US" w:eastAsia="zh-CN" w:bidi="ar-SA"/>
    </w:rPr>
  </w:style>
  <w:style w:type="paragraph" w:styleId="4">
    <w:name w:val="heading 1"/>
    <w:basedOn w:val="1"/>
    <w:next w:val="1"/>
    <w:link w:val="13"/>
    <w:qFormat/>
    <w:uiPriority w:val="9"/>
    <w:pPr>
      <w:keepNext/>
      <w:keepLines/>
      <w:spacing w:before="340" w:after="330" w:line="578" w:lineRule="auto"/>
      <w:outlineLvl w:val="0"/>
    </w:pPr>
    <w:rPr>
      <w:b/>
      <w:bCs/>
      <w:kern w:val="44"/>
      <w:sz w:val="44"/>
      <w:szCs w:val="44"/>
    </w:rPr>
  </w:style>
  <w:style w:type="paragraph" w:styleId="5">
    <w:name w:val="heading 2"/>
    <w:basedOn w:val="1"/>
    <w:next w:val="1"/>
    <w:link w:val="14"/>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character" w:default="1" w:styleId="11">
    <w:name w:val="Default Paragraph Font"/>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2">
    <w:name w:val="Body Text First Indent 2"/>
    <w:basedOn w:val="3"/>
    <w:qFormat/>
    <w:uiPriority w:val="0"/>
    <w:pPr>
      <w:spacing w:before="100" w:beforeAutospacing="1"/>
      <w:ind w:left="0" w:firstLine="420" w:firstLineChars="200"/>
    </w:pPr>
    <w:rPr>
      <w:rFonts w:ascii="Times New Roman" w:hAnsi="Times New Roman"/>
    </w:rPr>
  </w:style>
  <w:style w:type="paragraph" w:styleId="3">
    <w:name w:val="Body Text Indent"/>
    <w:basedOn w:val="1"/>
    <w:qFormat/>
    <w:uiPriority w:val="0"/>
    <w:pPr>
      <w:spacing w:after="120"/>
      <w:ind w:left="420" w:leftChars="200"/>
    </w:pPr>
  </w:style>
  <w:style w:type="paragraph" w:styleId="6">
    <w:name w:val="footer"/>
    <w:basedOn w:val="1"/>
    <w:link w:val="17"/>
    <w:semiHidden/>
    <w:unhideWhenUsed/>
    <w:qFormat/>
    <w:uiPriority w:val="99"/>
    <w:pPr>
      <w:tabs>
        <w:tab w:val="center" w:pos="4153"/>
        <w:tab w:val="right" w:pos="8306"/>
      </w:tabs>
      <w:snapToGrid w:val="0"/>
      <w:jc w:val="left"/>
    </w:pPr>
    <w:rPr>
      <w:sz w:val="18"/>
      <w:szCs w:val="18"/>
    </w:rPr>
  </w:style>
  <w:style w:type="paragraph" w:styleId="7">
    <w:name w:val="header"/>
    <w:basedOn w:val="1"/>
    <w:link w:val="16"/>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8">
    <w:name w:val="toc 1"/>
    <w:basedOn w:val="1"/>
    <w:next w:val="1"/>
    <w:unhideWhenUsed/>
    <w:qFormat/>
    <w:uiPriority w:val="39"/>
    <w:pPr>
      <w:widowControl/>
      <w:spacing w:after="100" w:line="259" w:lineRule="auto"/>
      <w:jc w:val="left"/>
    </w:pPr>
    <w:rPr>
      <w:rFonts w:asciiTheme="minorHAnsi" w:hAnsiTheme="minorHAnsi" w:eastAsiaTheme="minorEastAsia"/>
      <w:kern w:val="0"/>
      <w:sz w:val="22"/>
      <w:szCs w:val="22"/>
    </w:rPr>
  </w:style>
  <w:style w:type="paragraph" w:styleId="9">
    <w:name w:val="toc 2"/>
    <w:basedOn w:val="1"/>
    <w:next w:val="1"/>
    <w:unhideWhenUsed/>
    <w:qFormat/>
    <w:uiPriority w:val="39"/>
    <w:pPr>
      <w:widowControl/>
      <w:spacing w:after="100" w:line="259" w:lineRule="auto"/>
      <w:ind w:left="220"/>
      <w:jc w:val="left"/>
    </w:pPr>
    <w:rPr>
      <w:rFonts w:asciiTheme="minorHAnsi" w:hAnsiTheme="minorHAnsi" w:eastAsiaTheme="minorEastAsia"/>
      <w:kern w:val="0"/>
      <w:sz w:val="22"/>
      <w:szCs w:val="22"/>
    </w:rPr>
  </w:style>
  <w:style w:type="character" w:styleId="12">
    <w:name w:val="Hyperlink"/>
    <w:basedOn w:val="11"/>
    <w:unhideWhenUsed/>
    <w:qFormat/>
    <w:uiPriority w:val="99"/>
    <w:rPr>
      <w:color w:val="0563C1" w:themeColor="hyperlink"/>
      <w:u w:val="single"/>
      <w14:textFill>
        <w14:solidFill>
          <w14:schemeClr w14:val="hlink"/>
        </w14:solidFill>
      </w14:textFill>
    </w:rPr>
  </w:style>
  <w:style w:type="character" w:customStyle="1" w:styleId="13">
    <w:name w:val="标题 1 Char"/>
    <w:basedOn w:val="11"/>
    <w:link w:val="4"/>
    <w:qFormat/>
    <w:uiPriority w:val="9"/>
    <w:rPr>
      <w:rFonts w:ascii="Times New Roman" w:hAnsi="Times New Roman" w:eastAsia="仿宋_GB2312" w:cs="Times New Roman"/>
      <w:b/>
      <w:bCs/>
      <w:kern w:val="44"/>
      <w:sz w:val="44"/>
      <w:szCs w:val="44"/>
    </w:rPr>
  </w:style>
  <w:style w:type="character" w:customStyle="1" w:styleId="14">
    <w:name w:val="标题 2 Char"/>
    <w:basedOn w:val="11"/>
    <w:link w:val="5"/>
    <w:qFormat/>
    <w:uiPriority w:val="9"/>
    <w:rPr>
      <w:rFonts w:asciiTheme="majorHAnsi" w:hAnsiTheme="majorHAnsi" w:eastAsiaTheme="majorEastAsia" w:cstheme="majorBidi"/>
      <w:b/>
      <w:bCs/>
      <w:sz w:val="32"/>
      <w:szCs w:val="32"/>
    </w:rPr>
  </w:style>
  <w:style w:type="paragraph" w:customStyle="1" w:styleId="15">
    <w:name w:val="TOC Heading"/>
    <w:basedOn w:val="4"/>
    <w:next w:val="1"/>
    <w:unhideWhenUsed/>
    <w:qFormat/>
    <w:uiPriority w:val="39"/>
    <w:pPr>
      <w:widowControl/>
      <w:spacing w:before="240" w:after="0" w:line="259" w:lineRule="auto"/>
      <w:jc w:val="left"/>
      <w:outlineLvl w:val="9"/>
    </w:pPr>
    <w:rPr>
      <w:rFonts w:asciiTheme="majorHAnsi" w:hAnsiTheme="majorHAnsi" w:eastAsiaTheme="majorEastAsia" w:cstheme="majorBidi"/>
      <w:b w:val="0"/>
      <w:bCs w:val="0"/>
      <w:color w:val="2F5597" w:themeColor="accent1" w:themeShade="BF"/>
      <w:kern w:val="0"/>
      <w:sz w:val="32"/>
      <w:szCs w:val="32"/>
    </w:rPr>
  </w:style>
  <w:style w:type="character" w:customStyle="1" w:styleId="16">
    <w:name w:val="页眉 Char"/>
    <w:basedOn w:val="11"/>
    <w:link w:val="7"/>
    <w:semiHidden/>
    <w:qFormat/>
    <w:uiPriority w:val="99"/>
    <w:rPr>
      <w:rFonts w:ascii="Times New Roman" w:hAnsi="Times New Roman" w:eastAsia="仿宋_GB2312" w:cs="Times New Roman"/>
      <w:sz w:val="18"/>
      <w:szCs w:val="18"/>
    </w:rPr>
  </w:style>
  <w:style w:type="character" w:customStyle="1" w:styleId="17">
    <w:name w:val="页脚 Char"/>
    <w:basedOn w:val="11"/>
    <w:link w:val="6"/>
    <w:semiHidden/>
    <w:qFormat/>
    <w:uiPriority w:val="99"/>
    <w:rPr>
      <w:rFonts w:ascii="Times New Roman" w:hAnsi="Times New Roman" w:eastAsia="仿宋_GB2312" w:cs="Times New Roman"/>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16</Pages>
  <Words>5315</Words>
  <Characters>5623</Characters>
  <Lines>37</Lines>
  <Paragraphs>10</Paragraphs>
  <TotalTime>3</TotalTime>
  <ScaleCrop>false</ScaleCrop>
  <LinksUpToDate>false</LinksUpToDate>
  <CharactersWithSpaces>5636</CharactersWithSpaces>
  <Application>WPS Office_11.8.2.10972_F1E327BC-269C-435d-A152-05C5408002CA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2021-04-07T08:01:00Z</dcterms:created>
  <dc:creator>翘楚</dc:creator>
  <cp:lastModifiedBy>Lenovo</cp:lastModifiedBy>
  <dcterms:modified xsi:type="dcterms:W3CDTF">2023-09-06T04:25:56Z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2052-11.8.2.10972</vt:lpwstr>
  </property>
  <property fmtid="{D5CDD505-2E9C-101B-9397-08002B2CF9AE}" pid="3" name="ICV">
    <vt:lpwstr>0B507FB552B84DDE96E3D9B70FEBE802</vt:lpwstr>
  </property>
</Properties>
</file>