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hint="eastAsia" w:ascii="宋体" w:hAnsi="宋体" w:eastAsia="宋体" w:cs="宋体"/>
          <w:b/>
          <w:bCs/>
          <w:sz w:val="44"/>
          <w:szCs w:val="44"/>
        </w:rPr>
      </w:pPr>
      <w:r>
        <w:rPr>
          <w:rFonts w:hint="eastAsia" w:ascii="宋体" w:hAnsi="宋体" w:eastAsia="宋体" w:cs="宋体"/>
          <w:b/>
          <w:bCs/>
          <w:sz w:val="44"/>
          <w:szCs w:val="44"/>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仿宋_GB2312" w:hAnsi="Times New Roman" w:cs="Times New Roman"/>
          <w:sz w:val="32"/>
          <w:szCs w:val="32"/>
          <w:lang w:val="en-US" w:eastAsia="zh-CN"/>
        </w:rPr>
        <w:t>离退休干部活动费</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仿宋_GB2312" w:hAnsi="Times New Roman" w:cs="Times New Roman"/>
          <w:sz w:val="32"/>
          <w:szCs w:val="32"/>
          <w:lang w:val="en-US" w:eastAsia="zh-CN"/>
        </w:rPr>
        <w:t>中国共产党霍城县委老干部局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仿宋_GB2312" w:hAnsi="Times New Roman" w:cs="Times New Roman"/>
          <w:sz w:val="32"/>
          <w:szCs w:val="32"/>
          <w:lang w:val="en-US" w:eastAsia="zh-CN"/>
        </w:rPr>
        <w:t>中国共产党霍城县委老干部局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仿宋_GB2312" w:hAnsi="Times New Roman" w:cs="Times New Roman"/>
          <w:sz w:val="32"/>
          <w:szCs w:val="32"/>
          <w:lang w:val="en-US" w:eastAsia="zh-CN"/>
        </w:rPr>
        <w:t>查文新</w:t>
      </w:r>
    </w:p>
    <w:p>
      <w:pPr>
        <w:spacing w:line="560" w:lineRule="exact"/>
        <w:ind w:firstLine="321" w:firstLineChars="100"/>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填报时间：</w:t>
      </w:r>
      <w:r>
        <w:rPr>
          <w:rFonts w:hint="eastAsia" w:ascii="仿宋_GB2312" w:hAnsi="Times New Roman" w:cs="Times New Roman"/>
          <w:sz w:val="32"/>
          <w:szCs w:val="32"/>
          <w:lang w:val="en-US" w:eastAsia="zh-CN"/>
        </w:rPr>
        <w:t>2023年3月16日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44"/>
          <w:szCs w:val="44"/>
        </w:rPr>
      </w:pPr>
      <w:r>
        <w:rPr>
          <w:rFonts w:hint="eastAsia" w:ascii="宋体" w:hAnsi="宋体" w:eastAsia="宋体" w:cs="Arial"/>
          <w:b/>
          <w:bCs/>
          <w:sz w:val="44"/>
          <w:szCs w:val="44"/>
        </w:rPr>
        <w:t>项目支出</w:t>
      </w:r>
      <w:r>
        <w:rPr>
          <w:rFonts w:ascii="宋体" w:hAnsi="宋体" w:eastAsia="宋体" w:cs="Arial"/>
          <w:b/>
          <w:bCs/>
          <w:sz w:val="44"/>
          <w:szCs w:val="44"/>
        </w:rPr>
        <w:t>绩效</w:t>
      </w:r>
      <w:r>
        <w:rPr>
          <w:rFonts w:hint="eastAsia" w:ascii="宋体" w:hAnsi="宋体" w:eastAsia="宋体" w:cs="Arial"/>
          <w:b/>
          <w:bCs/>
          <w:sz w:val="44"/>
          <w:szCs w:val="44"/>
        </w:rPr>
        <w:t>评价报告</w:t>
      </w:r>
    </w:p>
    <w:p>
      <w:pPr>
        <w:jc w:val="center"/>
        <w:rPr>
          <w:rFonts w:ascii="仿宋_GB2312"/>
          <w:szCs w:val="30"/>
        </w:rPr>
      </w:pPr>
    </w:p>
    <w:p>
      <w:pPr>
        <w:pStyle w:val="3"/>
        <w:pageBreakBefore w:val="0"/>
        <w:widowControl w:val="0"/>
        <w:numPr>
          <w:ilvl w:val="0"/>
          <w:numId w:val="0"/>
        </w:numPr>
        <w:kinsoku/>
        <w:wordWrap/>
        <w:overflowPunct/>
        <w:topLinePunct w:val="0"/>
        <w:autoSpaceDE/>
        <w:autoSpaceDN/>
        <w:bidi w:val="0"/>
        <w:adjustRightInd/>
        <w:snapToGrid/>
        <w:spacing w:before="0" w:after="0" w:line="520" w:lineRule="exact"/>
        <w:ind w:firstLine="643" w:firstLineChars="200"/>
        <w:jc w:val="both"/>
        <w:textAlignment w:val="auto"/>
        <w:rPr>
          <w:rFonts w:hint="eastAsia" w:ascii="宋体" w:hAnsi="宋体" w:eastAsia="宋体" w:cs="宋体"/>
          <w:b/>
          <w:bCs/>
          <w:sz w:val="32"/>
          <w:szCs w:val="32"/>
        </w:rPr>
      </w:pPr>
      <w:bookmarkStart w:id="0" w:name="_Toc68703827"/>
      <w:r>
        <w:rPr>
          <w:rFonts w:hint="eastAsia" w:ascii="宋体" w:hAnsi="宋体" w:eastAsia="宋体" w:cs="宋体"/>
          <w:b/>
          <w:bCs/>
          <w:sz w:val="32"/>
          <w:szCs w:val="32"/>
          <w:lang w:eastAsia="zh-CN"/>
        </w:rPr>
        <w:t>一、</w:t>
      </w:r>
      <w:r>
        <w:rPr>
          <w:rFonts w:hint="eastAsia" w:ascii="宋体" w:hAnsi="宋体" w:eastAsia="宋体" w:cs="宋体"/>
          <w:b/>
          <w:bCs/>
          <w:sz w:val="32"/>
          <w:szCs w:val="32"/>
        </w:rPr>
        <w:t>基本情况</w:t>
      </w:r>
      <w:bookmarkEnd w:id="0"/>
      <w:bookmarkStart w:id="1" w:name="_Toc68703828"/>
    </w:p>
    <w:p>
      <w:pPr>
        <w:pStyle w:val="3"/>
        <w:pageBreakBefore w:val="0"/>
        <w:widowControl w:val="0"/>
        <w:numPr>
          <w:ilvl w:val="0"/>
          <w:numId w:val="0"/>
        </w:numPr>
        <w:kinsoku/>
        <w:wordWrap/>
        <w:overflowPunct/>
        <w:topLinePunct w:val="0"/>
        <w:autoSpaceDE/>
        <w:autoSpaceDN/>
        <w:bidi w:val="0"/>
        <w:adjustRightInd/>
        <w:snapToGrid/>
        <w:spacing w:before="0" w:after="0" w:line="520" w:lineRule="exact"/>
        <w:ind w:leftChars="0" w:firstLine="320" w:firstLineChars="100"/>
        <w:jc w:val="both"/>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（一）项目概况</w:t>
      </w:r>
      <w:bookmarkEnd w:id="1"/>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b w:val="0"/>
          <w:bCs w:val="0"/>
          <w:sz w:val="32"/>
          <w:szCs w:val="32"/>
        </w:rPr>
      </w:pPr>
      <w:r>
        <w:rPr>
          <w:rFonts w:hint="eastAsia" w:ascii="仿宋_GB2312"/>
          <w:b w:val="0"/>
          <w:bCs w:val="0"/>
          <w:sz w:val="32"/>
          <w:szCs w:val="32"/>
        </w:rPr>
        <w:t>1</w:t>
      </w:r>
      <w:r>
        <w:rPr>
          <w:rFonts w:hint="eastAsia" w:ascii="仿宋_GB2312"/>
          <w:b w:val="0"/>
          <w:bCs w:val="0"/>
          <w:sz w:val="32"/>
          <w:szCs w:val="32"/>
          <w:lang w:val="en-US" w:eastAsia="zh-CN"/>
        </w:rPr>
        <w:t>.</w:t>
      </w:r>
      <w:r>
        <w:rPr>
          <w:rFonts w:hint="eastAsia" w:ascii="仿宋_GB2312"/>
          <w:b w:val="0"/>
          <w:bCs w:val="0"/>
          <w:sz w:val="32"/>
          <w:szCs w:val="32"/>
        </w:rPr>
        <w:t>项目背景</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ascii="仿宋_GB2312"/>
          <w:sz w:val="32"/>
          <w:szCs w:val="32"/>
        </w:rPr>
      </w:pPr>
      <w:r>
        <w:rPr>
          <w:rFonts w:hint="eastAsia" w:ascii="仿宋_GB2312" w:hAnsi="Times New Roman" w:cs="Times New Roman"/>
          <w:b w:val="0"/>
          <w:bCs w:val="0"/>
          <w:sz w:val="32"/>
          <w:szCs w:val="32"/>
          <w:lang w:val="en-US" w:eastAsia="zh-CN"/>
        </w:rPr>
        <w:t>“离退休干部活动</w:t>
      </w:r>
      <w:r>
        <w:rPr>
          <w:rFonts w:hint="eastAsia" w:ascii="仿宋_GB2312" w:hAnsi="Times New Roman" w:cs="Times New Roman"/>
          <w:sz w:val="32"/>
          <w:szCs w:val="32"/>
          <w:lang w:val="en-US" w:eastAsia="zh-CN"/>
        </w:rPr>
        <w:t>经费”项目于2005年开始执行，由县财政局拨经费</w:t>
      </w:r>
      <w:r>
        <w:rPr>
          <w:rFonts w:hint="eastAsia" w:ascii="仿宋_GB2312" w:cs="Times New Roman"/>
          <w:sz w:val="32"/>
          <w:szCs w:val="32"/>
          <w:lang w:val="en-US" w:eastAsia="zh-CN"/>
        </w:rPr>
        <w:t>23</w:t>
      </w:r>
      <w:r>
        <w:rPr>
          <w:rFonts w:hint="eastAsia" w:ascii="仿宋_GB2312" w:hAnsi="Times New Roman" w:cs="Times New Roman"/>
          <w:sz w:val="32"/>
          <w:szCs w:val="32"/>
          <w:lang w:val="en-US" w:eastAsia="zh-CN"/>
        </w:rPr>
        <w:t>万元。该项目资金用于进一步落实好离退休干部政治、生活待遇，体现自治区党委和政府对离退休干部的关怀和照顾，切实保障离退休干部的活动正常运行。依据自治区党委印发新党组通字[2014]11号和伊州党组【2021】19号以及霍财预【2022】1号。充分发挥离退休干部作用，让老干部“老有所学，老有所教，老有所乐，老有所医”。</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ascii="仿宋_GB2312"/>
          <w:b w:val="0"/>
          <w:bCs w:val="0"/>
          <w:sz w:val="32"/>
          <w:szCs w:val="32"/>
        </w:rPr>
      </w:pPr>
      <w:r>
        <w:rPr>
          <w:rFonts w:hint="eastAsia" w:ascii="仿宋_GB2312"/>
          <w:b w:val="0"/>
          <w:bCs w:val="0"/>
          <w:sz w:val="32"/>
          <w:szCs w:val="32"/>
        </w:rPr>
        <w:t>2</w:t>
      </w:r>
      <w:r>
        <w:rPr>
          <w:rFonts w:hint="eastAsia" w:ascii="仿宋_GB2312"/>
          <w:b w:val="0"/>
          <w:bCs w:val="0"/>
          <w:sz w:val="32"/>
          <w:szCs w:val="32"/>
          <w:lang w:val="en-US" w:eastAsia="zh-CN"/>
        </w:rPr>
        <w:t>.</w:t>
      </w:r>
      <w:r>
        <w:rPr>
          <w:rFonts w:hint="eastAsia" w:ascii="仿宋_GB2312"/>
          <w:b w:val="0"/>
          <w:bCs w:val="0"/>
          <w:sz w:val="32"/>
          <w:szCs w:val="32"/>
        </w:rPr>
        <w:t>主要内容</w:t>
      </w:r>
      <w:r>
        <w:rPr>
          <w:rFonts w:hint="eastAsia"/>
          <w:b w:val="0"/>
          <w:bCs w:val="0"/>
          <w:sz w:val="32"/>
          <w:szCs w:val="32"/>
        </w:rPr>
        <w:t>及</w:t>
      </w:r>
      <w:r>
        <w:rPr>
          <w:rFonts w:hint="eastAsia" w:ascii="仿宋_GB2312"/>
          <w:b w:val="0"/>
          <w:bCs w:val="0"/>
          <w:sz w:val="32"/>
          <w:szCs w:val="32"/>
        </w:rPr>
        <w:t>实施情况</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b w:val="0"/>
          <w:bCs w:val="0"/>
          <w:sz w:val="32"/>
          <w:szCs w:val="32"/>
          <w:lang w:val="en-US" w:eastAsia="zh-CN"/>
        </w:rPr>
      </w:pPr>
      <w:r>
        <w:rPr>
          <w:rFonts w:hint="eastAsia" w:ascii="仿宋_GB2312" w:hAnsi="Times New Roman" w:cs="Times New Roman"/>
          <w:b w:val="0"/>
          <w:bCs w:val="0"/>
          <w:sz w:val="32"/>
          <w:szCs w:val="32"/>
          <w:lang w:val="en-US" w:eastAsia="zh-CN"/>
        </w:rPr>
        <w:t>主要内容：一是加强老干部思想政治建设，加强县老干部活动中心设施建设，抓好老年大学教学管理工作，强化师资力量，扩大办学规模；多形式、多层次组织老干部开展丰富多彩、健康向上的文艺汇演、书法绘画、摄影大赛等活动,不断丰富老干部的精神文化生活。聚焦老有所养，为保障身心健康服务。进一步完善离休干部“三个机制”，确保离休干部离休费按时足额发放，医药费按规定实报实销。离休干部及遗孀进行走访慰问。同时,对生活困难和生病住院的离退休干部进行走访看望，对异地安置的离休干部每月联系一次，去世的进行组织慰问。</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b w:val="0"/>
          <w:bCs w:val="0"/>
          <w:sz w:val="32"/>
          <w:szCs w:val="32"/>
          <w:lang w:val="en-US" w:eastAsia="zh-CN"/>
        </w:rPr>
      </w:pPr>
      <w:r>
        <w:rPr>
          <w:rFonts w:hint="eastAsia" w:ascii="仿宋_GB2312" w:hAnsi="Times New Roman" w:cs="Times New Roman"/>
          <w:b w:val="0"/>
          <w:bCs w:val="0"/>
          <w:sz w:val="32"/>
          <w:szCs w:val="32"/>
          <w:lang w:val="en-US" w:eastAsia="zh-CN"/>
        </w:rPr>
        <w:t>二是组织广大“五老”走进学校、乡镇、村（社区）、机关讲好“红色”故事。让广大“五老”要不忘初心、牢记使命，以强烈的政治担当和责任担当，以昂扬向上的工作状态，努力谱写新时代霍城县老干部工作新篇章，以优异成绩迎接党的二十大胜利召开。三是保障老干部活动场所安全运行，为老干部提供政治学习、娱乐活动等日常服务，做好老干部活动室及公共区域电路老化灯具等设备维修维护。让老干部在舒适环境中老有所学老有所乐。</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b w:val="0"/>
          <w:bCs w:val="0"/>
          <w:sz w:val="32"/>
          <w:szCs w:val="32"/>
          <w:lang w:val="en-US" w:eastAsia="zh-CN"/>
        </w:rPr>
        <w:t>实施情况：老干部活动中心项目实施周期为1年，本项目已按照实施内容全部完成项目预期实施目标。1.组织80余名退休干部开展“建言二十大”“我看中国特色社会主义新时代”调研活动，老干部撰写调研稿件12篇，抒发爱党爱国爱家乡情感。2.以“喜迎二十大、奋斗新征程”为主线，组织50余名文化素养高的老干部，开展送文艺演出、网络直播、</w:t>
      </w:r>
      <w:r>
        <w:rPr>
          <w:rFonts w:hint="eastAsia" w:ascii="仿宋_GB2312" w:hAnsi="Times New Roman" w:cs="Times New Roman"/>
          <w:sz w:val="32"/>
          <w:szCs w:val="32"/>
          <w:lang w:val="en-US" w:eastAsia="zh-CN"/>
        </w:rPr>
        <w:t>送书画、送春联等活动11场次，为群众赠送书画作品200余幅，受益群众1000余人。3.精细服务离休干部为县内居住的8位离休干部办理“就医绿色通道”卡、签约家庭医生，今年，已上门巡诊服务12人次，协助4名离休干部办理后事及丧葬费、抚恤金、遗孀补助；全面落实“两项待遇”。4.助力成长，发挥“五老”作用，组织“五老”开展“两法”进校园活动5场次，受教育师生600余人。开展烈士陵园红色义务宣讲36场次。</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ascii="仿宋_GB2312"/>
          <w:b w:val="0"/>
          <w:bCs w:val="0"/>
          <w:sz w:val="32"/>
          <w:szCs w:val="32"/>
        </w:rPr>
      </w:pPr>
      <w:r>
        <w:rPr>
          <w:rFonts w:ascii="仿宋_GB2312"/>
          <w:b w:val="0"/>
          <w:bCs w:val="0"/>
          <w:sz w:val="32"/>
          <w:szCs w:val="32"/>
        </w:rPr>
        <w:t>3</w:t>
      </w:r>
      <w:r>
        <w:rPr>
          <w:rFonts w:hint="eastAsia" w:ascii="仿宋_GB2312"/>
          <w:b w:val="0"/>
          <w:bCs w:val="0"/>
          <w:sz w:val="32"/>
          <w:szCs w:val="32"/>
          <w:lang w:val="en-US" w:eastAsia="zh-CN"/>
        </w:rPr>
        <w:t>.</w:t>
      </w:r>
      <w:r>
        <w:rPr>
          <w:rFonts w:hint="eastAsia" w:ascii="仿宋_GB2312"/>
          <w:b w:val="0"/>
          <w:bCs w:val="0"/>
          <w:sz w:val="32"/>
          <w:szCs w:val="32"/>
        </w:rPr>
        <w:t>资金投入和使用情况</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资金投入情况：该项目年初预算数23万元，全年预算数23万元，实际总投入23万元，该项目资金已全部落实到位，资金来源为县级财政资金。</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b w:val="0"/>
          <w:bCs w:val="0"/>
          <w:sz w:val="32"/>
          <w:szCs w:val="32"/>
          <w:lang w:val="en-US" w:eastAsia="zh-CN"/>
        </w:rPr>
      </w:pPr>
      <w:r>
        <w:rPr>
          <w:rFonts w:hint="eastAsia" w:ascii="仿宋_GB2312" w:hAnsi="Times New Roman" w:cs="Times New Roman"/>
          <w:sz w:val="32"/>
          <w:szCs w:val="32"/>
          <w:lang w:val="en-US" w:eastAsia="zh-CN"/>
        </w:rPr>
        <w:t>资金使用情况：该项目年初预算数23万元，全年预算数23万元，全年执行数23万元，预算执行率为100%，用于：老年活动中心取暖费8.55万元，老干部开展各项活动及活动中心正常运转13万元，走访慰问生</w:t>
      </w:r>
      <w:r>
        <w:rPr>
          <w:rFonts w:hint="eastAsia" w:ascii="仿宋_GB2312" w:hAnsi="Times New Roman" w:cs="Times New Roman"/>
          <w:b w:val="0"/>
          <w:bCs w:val="0"/>
          <w:sz w:val="32"/>
          <w:szCs w:val="32"/>
          <w:lang w:val="en-US" w:eastAsia="zh-CN"/>
        </w:rPr>
        <w:t>病探望离退休干部1.5万元。</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bookmarkStart w:id="2" w:name="_Toc68703829"/>
      <w:r>
        <w:rPr>
          <w:rFonts w:hint="eastAsia" w:ascii="仿宋_GB2312" w:hAnsi="Times New Roman" w:cs="Times New Roman"/>
          <w:sz w:val="32"/>
          <w:szCs w:val="32"/>
          <w:lang w:val="en-US" w:eastAsia="zh-CN"/>
        </w:rPr>
        <w:t>（二）项目绩效目标</w:t>
      </w:r>
      <w:bookmarkEnd w:id="2"/>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1.总体目标</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一是深入学习习近平新时代中国特色社会主义思想和</w:t>
      </w:r>
      <w:r>
        <w:rPr>
          <w:rFonts w:hint="eastAsia" w:ascii="仿宋_GB2312" w:cs="Times New Roman"/>
          <w:sz w:val="32"/>
          <w:szCs w:val="32"/>
          <w:lang w:val="en-US" w:eastAsia="zh-CN"/>
        </w:rPr>
        <w:t>党的</w:t>
      </w:r>
      <w:r>
        <w:rPr>
          <w:rFonts w:hint="eastAsia" w:ascii="仿宋_GB2312" w:hAnsi="Times New Roman" w:cs="Times New Roman"/>
          <w:sz w:val="32"/>
          <w:szCs w:val="32"/>
          <w:lang w:val="en-US" w:eastAsia="zh-CN"/>
        </w:rPr>
        <w:t>十九届六中全会等会议精神，加强老干部思想政治建设，加强县老干部活动中心设施建设，抓好老年大学教学管理工作，强化师资力量，扩大办学规模；多形式、多层次组织老干部开展丰富多彩、健康向上的文艺汇演、书法绘画、摄影大赛等活动,不断丰富老干部的精神文化生活。聚焦老有所养，为保障身心健康服务。进一步完善离休干部“三个机制”，确保离休干部离休费按时足额发放，医药费按规定实报实销。离休干部及遗孀进行走访慰问。同时,对生活困难和生病住院的离退休干部进行走访看望，对异地安置的离休干部每月联系一次，去世的进行组织慰问。</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highlight w:val="none"/>
          <w:lang w:val="en-US" w:eastAsia="zh-CN"/>
        </w:rPr>
      </w:pPr>
      <w:r>
        <w:rPr>
          <w:rFonts w:hint="eastAsia" w:ascii="仿宋_GB2312" w:hAnsi="Times New Roman" w:cs="Times New Roman"/>
          <w:sz w:val="32"/>
          <w:szCs w:val="32"/>
          <w:lang w:val="en-US" w:eastAsia="zh-CN"/>
        </w:rPr>
        <w:t>二是组织广大“五老”走进学校、乡镇、村（社区）、机关讲好“红色”故事。让广大“五老”要不忘初心、牢记使命，以强烈的政治担当和责任担当，以昂扬向上的工作状态，努力谱写新时代霍城县老干部工作新篇章，以优异成绩迎接党的二十大胜利召开的系列活动为主要内容，开展“文化润疆、老干部系列文化</w:t>
      </w:r>
      <w:r>
        <w:rPr>
          <w:rFonts w:hint="eastAsia" w:ascii="仿宋_GB2312" w:hAnsi="Times New Roman" w:cs="Times New Roman"/>
          <w:sz w:val="32"/>
          <w:szCs w:val="32"/>
          <w:highlight w:val="none"/>
          <w:lang w:val="en-US" w:eastAsia="zh-CN"/>
        </w:rPr>
        <w:t>活动、关心下一代系列活动”等经费23万元。</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2.阶段性目标</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一是深入学习习近平新时代中国特色社会主义思想和</w:t>
      </w:r>
      <w:r>
        <w:rPr>
          <w:rFonts w:hint="eastAsia" w:ascii="仿宋_GB2312" w:cs="Times New Roman"/>
          <w:sz w:val="32"/>
          <w:szCs w:val="32"/>
          <w:lang w:val="en-US" w:eastAsia="zh-CN"/>
        </w:rPr>
        <w:t>党的</w:t>
      </w:r>
      <w:bookmarkStart w:id="21" w:name="_GoBack"/>
      <w:bookmarkEnd w:id="21"/>
      <w:r>
        <w:rPr>
          <w:rFonts w:hint="eastAsia" w:ascii="仿宋_GB2312" w:hAnsi="Times New Roman" w:cs="Times New Roman"/>
          <w:sz w:val="32"/>
          <w:szCs w:val="32"/>
          <w:lang w:val="en-US" w:eastAsia="zh-CN"/>
        </w:rPr>
        <w:t>十九届六中全会等会议精神，加强老干部思想政治建设，加强县老干部活动中心设施建设，抓好老年大学教学管理工作，强化师资力量，扩大办学规模；多形式、多层次组织老干部开展丰富多彩、健康向上的文艺汇演、书法绘画、摄影大赛等活动,不断丰富老干部的精神文化生活。聚焦老有所养，为保障身心健康服务。进一步完善离休干部“三个机制”，确保离休干部离休费按时足额发放，医药费按规定实报实销。离休干部及遗孀进行走访慰问。同时,对生活困难和生病住院的离退休干部进行走访看望，对异地安置的离休干部每月联系一次，去世的进行组织慰问。</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仿宋_GB2312" w:hAnsi="Times New Roman" w:cs="Times New Roman"/>
          <w:sz w:val="32"/>
          <w:szCs w:val="32"/>
          <w:lang w:val="en-US" w:eastAsia="zh-CN"/>
        </w:rPr>
        <w:t>二是组织广大“五老”走进学校、乡镇、村（社区）、机关讲好“红色”故事。让广大“五老”要不忘初心、牢记使命，以强烈的政治担当和责任担当，以昂扬向上的工作状态，努力谱写新时代霍城县老干部工作新篇章，以优异成绩迎接党的二十大胜利召开的系列活动为主要内容，开展“文化润疆、老干部系列文化活动、关心下一代系列活动”等经费23万元。</w:t>
      </w:r>
    </w:p>
    <w:p>
      <w:pPr>
        <w:pStyle w:val="3"/>
        <w:pageBreakBefore w:val="0"/>
        <w:widowControl w:val="0"/>
        <w:kinsoku/>
        <w:wordWrap/>
        <w:overflowPunct/>
        <w:topLinePunct w:val="0"/>
        <w:autoSpaceDE/>
        <w:autoSpaceDN/>
        <w:bidi w:val="0"/>
        <w:adjustRightInd/>
        <w:snapToGrid/>
        <w:spacing w:before="0" w:after="0" w:line="520" w:lineRule="exact"/>
        <w:ind w:leftChars="0" w:firstLine="643" w:firstLineChars="200"/>
        <w:jc w:val="both"/>
        <w:textAlignment w:val="auto"/>
        <w:rPr>
          <w:rFonts w:hint="eastAsia" w:ascii="宋体" w:hAnsi="宋体" w:eastAsia="宋体" w:cs="宋体"/>
          <w:b/>
          <w:bCs/>
          <w:sz w:val="32"/>
          <w:szCs w:val="32"/>
        </w:rPr>
      </w:pPr>
      <w:bookmarkStart w:id="3" w:name="_Toc68703830"/>
      <w:r>
        <w:rPr>
          <w:rFonts w:hint="eastAsia" w:ascii="宋体" w:hAnsi="宋体" w:eastAsia="宋体" w:cs="宋体"/>
          <w:b/>
          <w:bCs/>
          <w:sz w:val="32"/>
          <w:szCs w:val="32"/>
        </w:rPr>
        <w:t>二、绩效评价工作开展情况</w:t>
      </w:r>
      <w:bookmarkEnd w:id="3"/>
    </w:p>
    <w:p>
      <w:pPr>
        <w:pStyle w:val="2"/>
        <w:pageBreakBefore w:val="0"/>
        <w:widowControl w:val="0"/>
        <w:kinsoku/>
        <w:wordWrap/>
        <w:overflowPunct/>
        <w:topLinePunct w:val="0"/>
        <w:autoSpaceDE/>
        <w:autoSpaceDN/>
        <w:bidi w:val="0"/>
        <w:adjustRightInd/>
        <w:snapToGrid/>
        <w:spacing w:before="0" w:after="0" w:line="520" w:lineRule="exact"/>
        <w:ind w:leftChars="0"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bookmarkStart w:id="4" w:name="_Toc68703831"/>
      <w:r>
        <w:rPr>
          <w:rFonts w:hint="eastAsia" w:ascii="Times New Roman" w:hAnsi="Times New Roman" w:eastAsia="仿宋_GB2312" w:cs="Times New Roman"/>
          <w:b w:val="0"/>
          <w:bCs w:val="0"/>
          <w:kern w:val="2"/>
          <w:sz w:val="32"/>
          <w:szCs w:val="32"/>
          <w:lang w:val="en-US" w:eastAsia="zh-CN" w:bidi="ar-SA"/>
        </w:rPr>
        <w:t>（一）绩效评价目的、对象和范围</w:t>
      </w:r>
      <w:bookmarkEnd w:id="4"/>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1.绩效评价目的:</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仿宋_GB2312" w:hAnsi="Times New Roman" w:cs="Times New Roman"/>
          <w:sz w:val="32"/>
          <w:szCs w:val="32"/>
          <w:lang w:val="en-US" w:eastAsia="zh-CN"/>
        </w:rPr>
        <w:t>通过绩效评价，客观</w:t>
      </w:r>
      <w:r>
        <w:rPr>
          <w:rFonts w:hint="eastAsia" w:ascii="Times New Roman" w:hAnsi="Times New Roman" w:cs="Times New Roman"/>
          <w:sz w:val="32"/>
          <w:szCs w:val="32"/>
          <w:lang w:val="en-US" w:eastAsia="zh-CN"/>
        </w:rPr>
        <w:t>地评判项目的管理绩效，了解和掌握离退休干部活动经费的具体情况，评价该项目资金安排的科学性、</w:t>
      </w:r>
      <w:r>
        <w:rPr>
          <w:rFonts w:hint="eastAsia" w:ascii="仿宋_GB2312" w:hAnsi="Times New Roman" w:cs="Times New Roman"/>
          <w:sz w:val="32"/>
          <w:szCs w:val="32"/>
          <w:lang w:val="en-US" w:eastAsia="zh-CN"/>
        </w:rPr>
        <w:t>合理性</w:t>
      </w:r>
      <w:r>
        <w:rPr>
          <w:rFonts w:hint="eastAsia" w:ascii="Times New Roman" w:hAnsi="Times New Roman" w:cs="Times New Roman"/>
          <w:sz w:val="32"/>
          <w:szCs w:val="32"/>
          <w:lang w:val="en-US" w:eastAsia="zh-CN"/>
        </w:rPr>
        <w:t>、规范性和资金的使用成效，及时总结项目管理经验，完善项目管理办法，提高项目管理水平和资金使用效益。</w:t>
      </w:r>
      <w:r>
        <w:rPr>
          <w:rFonts w:hint="eastAsia" w:cs="Times New Roman"/>
          <w:sz w:val="32"/>
          <w:szCs w:val="32"/>
          <w:lang w:val="en-US" w:eastAsia="zh-CN"/>
        </w:rPr>
        <w:t>针对</w:t>
      </w:r>
      <w:r>
        <w:rPr>
          <w:rFonts w:hint="eastAsia" w:ascii="Times New Roman" w:hAnsi="Times New Roman" w:cs="Times New Roman"/>
          <w:sz w:val="32"/>
          <w:szCs w:val="32"/>
          <w:lang w:val="en-US" w:eastAsia="zh-CN"/>
        </w:rPr>
        <w:t>我局根据绩效评价中发现的问题，认真加以整改，及时调整和完善单位的工作计划并加强项目绩效管理，同时为项目后续资金投入、分配和管理提供决策依据。</w:t>
      </w:r>
    </w:p>
    <w:p>
      <w:pPr>
        <w:pageBreakBefore w:val="0"/>
        <w:widowControl w:val="0"/>
        <w:numPr>
          <w:ilvl w:val="0"/>
          <w:numId w:val="1"/>
        </w:numPr>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cs="Times New Roman"/>
          <w:sz w:val="32"/>
          <w:szCs w:val="32"/>
          <w:lang w:val="en-US" w:eastAsia="zh-CN"/>
        </w:rPr>
      </w:pPr>
      <w:r>
        <w:rPr>
          <w:rFonts w:hint="eastAsia" w:ascii="仿宋_GB2312" w:hAnsi="Times New Roman" w:cs="Times New Roman"/>
          <w:sz w:val="32"/>
          <w:szCs w:val="32"/>
          <w:lang w:val="en-US" w:eastAsia="zh-CN"/>
        </w:rPr>
        <w:t>绩效评价对象</w:t>
      </w:r>
      <w:r>
        <w:rPr>
          <w:rFonts w:hint="eastAsia" w:ascii="仿宋_GB2312" w:cs="Times New Roman"/>
          <w:sz w:val="32"/>
          <w:szCs w:val="32"/>
          <w:lang w:val="en-US" w:eastAsia="zh-CN"/>
        </w:rPr>
        <w:t>:</w:t>
      </w:r>
    </w:p>
    <w:p>
      <w:pPr>
        <w:pageBreakBefore w:val="0"/>
        <w:widowControl w:val="0"/>
        <w:numPr>
          <w:ilvl w:val="0"/>
          <w:numId w:val="0"/>
        </w:numPr>
        <w:kinsoku/>
        <w:wordWrap/>
        <w:overflowPunct/>
        <w:topLinePunct w:val="0"/>
        <w:autoSpaceDE/>
        <w:autoSpaceDN/>
        <w:bidi w:val="0"/>
        <w:adjustRightInd/>
        <w:snapToGrid/>
        <w:spacing w:line="520" w:lineRule="exact"/>
        <w:ind w:left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离退休干部活动费项目</w:t>
      </w:r>
    </w:p>
    <w:p>
      <w:pPr>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仿宋_GB2312" w:cs="Times New Roman"/>
          <w:sz w:val="32"/>
          <w:szCs w:val="32"/>
          <w:lang w:val="en-US" w:eastAsia="zh-CN"/>
        </w:rPr>
      </w:pPr>
      <w:r>
        <w:rPr>
          <w:rFonts w:hint="eastAsia" w:ascii="仿宋_GB2312" w:hAnsi="Times New Roman" w:cs="Times New Roman"/>
          <w:sz w:val="32"/>
          <w:szCs w:val="32"/>
          <w:lang w:val="en-US" w:eastAsia="zh-CN"/>
        </w:rPr>
        <w:t>绩效评价范围</w:t>
      </w:r>
      <w:r>
        <w:rPr>
          <w:rFonts w:hint="eastAsia" w:ascii="仿宋_GB2312" w:cs="Times New Roman"/>
          <w:sz w:val="32"/>
          <w:szCs w:val="32"/>
          <w:lang w:val="en-US" w:eastAsia="zh-CN"/>
        </w:rPr>
        <w:t>:</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本次评价从项目决策（包括绩效目标、决策过程）、项目管理（包括项目资金、项目实施）、项目产出（包括项目产出数量、产出质量、产出时效和产出成本）项目效益四个维度进行离退休干部活动费项目评价，评价核心为资金的支出完成情况和效果。</w:t>
      </w:r>
      <w:bookmarkStart w:id="5" w:name="_Toc68703832"/>
    </w:p>
    <w:p>
      <w:pPr>
        <w:pStyle w:val="2"/>
        <w:pageBreakBefore w:val="0"/>
        <w:widowControl w:val="0"/>
        <w:kinsoku/>
        <w:wordWrap/>
        <w:overflowPunct/>
        <w:topLinePunct w:val="0"/>
        <w:autoSpaceDE/>
        <w:autoSpaceDN/>
        <w:bidi w:val="0"/>
        <w:adjustRightInd/>
        <w:snapToGrid/>
        <w:spacing w:before="0" w:after="0" w:line="520" w:lineRule="exact"/>
        <w:ind w:leftChars="0"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（二）绩效评价原则、评价指标体系、评价方法、评价标准等</w:t>
      </w:r>
      <w:bookmarkEnd w:id="5"/>
    </w:p>
    <w:p>
      <w:pPr>
        <w:pStyle w:val="2"/>
        <w:pageBreakBefore w:val="0"/>
        <w:widowControl w:val="0"/>
        <w:kinsoku/>
        <w:wordWrap/>
        <w:overflowPunct/>
        <w:topLinePunct w:val="0"/>
        <w:autoSpaceDE/>
        <w:autoSpaceDN/>
        <w:bidi w:val="0"/>
        <w:adjustRightInd/>
        <w:snapToGrid/>
        <w:spacing w:before="0" w:after="0" w:line="520" w:lineRule="exact"/>
        <w:ind w:leftChars="0"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1.绩效评价原则</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（一）科学公正。本次项目支出绩效评价运用科学合理的方法，按照规范的程序，对项目绩效进行客观、公正的反映。</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（二）统筹兼顾。本次项目支出绩效评价由本单位自主实施，即“谁支出、谁自评”。</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（三）激励约束。本次项目支出绩效评价结果与预算安排、政策调整、改进管理实质性挂钩，体现奖优罚劣和激励相容导向，有效要安排、低效要压减、无效要问责。</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ascii="仿宋_GB2312"/>
          <w:bCs/>
          <w:color w:val="FF0000"/>
          <w:sz w:val="32"/>
          <w:szCs w:val="32"/>
        </w:rPr>
      </w:pPr>
      <w:r>
        <w:rPr>
          <w:rFonts w:hint="eastAsia" w:ascii="Times New Roman" w:hAnsi="Times New Roman" w:cs="Times New Roman"/>
          <w:sz w:val="32"/>
          <w:szCs w:val="32"/>
          <w:lang w:val="en-US" w:eastAsia="zh-CN"/>
        </w:rPr>
        <w:t>（四）公开透明。本次项目支出绩效评价结果已依法依规公开在霍城县政府网站上，并自觉接受社会监督。</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根据上述原则，按照从投入、过程到产出效果和影响的绩效逻辑路径，结合2022年离退休干部活动费项目实际开展情况，运用定量和定性分析相结合的方法，总结经验，反思项目实施和管理中的问题，以切实提升财政资金管理的科学化、规范化和精细化水平。</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2.评价指标体系（附表说明）</w:t>
      </w:r>
    </w:p>
    <w:p>
      <w:pPr>
        <w:pageBreakBefore w:val="0"/>
        <w:widowControl w:val="0"/>
        <w:kinsoku/>
        <w:wordWrap/>
        <w:overflowPunct/>
        <w:topLinePunct w:val="0"/>
        <w:autoSpaceDE/>
        <w:autoSpaceDN/>
        <w:bidi w:val="0"/>
        <w:adjustRightInd/>
        <w:snapToGrid/>
        <w:spacing w:line="520" w:lineRule="exact"/>
        <w:ind w:leftChars="0" w:firstLine="640" w:firstLineChars="200"/>
        <w:jc w:val="center"/>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离退休干部活动费项目支出绩效评价指标体系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2098" w:right="1531" w:bottom="1871" w:left="1531" w:header="737" w:footer="851" w:gutter="0"/>
          <w:cols w:space="720" w:num="1"/>
          <w:docGrid w:type="lines" w:linePitch="408" w:charSpace="0"/>
        </w:sectPr>
      </w:pP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3.评价方法</w:t>
      </w:r>
    </w:p>
    <w:p>
      <w:pPr>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本次部门项目支出绩效自评采用的方法主要是比较法、公众评判法等方法，原因是：运用比较法与上年数据相比较分析，得出往年对比情况的结论评价；采用公众评判法，通过座谈询问老干部满意度及政策知晓。</w:t>
      </w:r>
    </w:p>
    <w:p>
      <w:pPr>
        <w:pageBreakBefore w:val="0"/>
        <w:widowControl w:val="0"/>
        <w:numPr>
          <w:ilvl w:val="0"/>
          <w:numId w:val="0"/>
        </w:numPr>
        <w:kinsoku/>
        <w:wordWrap/>
        <w:overflowPunct/>
        <w:topLinePunct w:val="0"/>
        <w:autoSpaceDE/>
        <w:autoSpaceDN/>
        <w:bidi w:val="0"/>
        <w:adjustRightInd/>
        <w:snapToGrid/>
        <w:spacing w:line="520" w:lineRule="exact"/>
        <w:ind w:left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rPr>
        <w:t>4.</w:t>
      </w:r>
      <w:r>
        <w:rPr>
          <w:rFonts w:hint="eastAsia" w:ascii="Times New Roman" w:hAnsi="Times New Roman" w:cs="Times New Roman"/>
          <w:sz w:val="32"/>
          <w:szCs w:val="32"/>
          <w:lang w:val="en-US" w:eastAsia="zh-CN"/>
        </w:rPr>
        <w:t>评价标准</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highlight w:val="none"/>
          <w:lang w:val="en-US" w:eastAsia="zh-CN"/>
        </w:rPr>
        <w:t>本次项目支出绩效</w:t>
      </w:r>
      <w:r>
        <w:rPr>
          <w:rFonts w:hint="eastAsia" w:cs="Times New Roman"/>
          <w:sz w:val="32"/>
          <w:szCs w:val="32"/>
          <w:highlight w:val="none"/>
          <w:lang w:val="en-US" w:eastAsia="zh-CN"/>
        </w:rPr>
        <w:t>自评采用计划标准，原因：根据年初离退休活动费项目</w:t>
      </w:r>
      <w:r>
        <w:rPr>
          <w:rFonts w:hint="eastAsia" w:ascii="Times New Roman" w:hAnsi="Times New Roman" w:cs="Times New Roman"/>
          <w:sz w:val="32"/>
          <w:szCs w:val="32"/>
          <w:highlight w:val="none"/>
          <w:lang w:val="en-US" w:eastAsia="zh-CN"/>
        </w:rPr>
        <w:t>预先制定的目标、计划、预算</w:t>
      </w:r>
      <w:r>
        <w:rPr>
          <w:rFonts w:hint="eastAsia" w:ascii="Times New Roman" w:hAnsi="Times New Roman" w:cs="Times New Roman"/>
          <w:sz w:val="32"/>
          <w:szCs w:val="32"/>
          <w:lang w:val="en-US" w:eastAsia="zh-CN"/>
        </w:rPr>
        <w:t>、定额等作为评价标准</w:t>
      </w:r>
      <w:r>
        <w:rPr>
          <w:rFonts w:hint="eastAsia" w:cs="Times New Roman"/>
          <w:sz w:val="32"/>
          <w:szCs w:val="32"/>
          <w:lang w:val="en-US" w:eastAsia="zh-CN"/>
        </w:rPr>
        <w:t>，针对绩效指标等方面进行改进提高，使本此绩效评价更科学、更标准、更符合实际。</w:t>
      </w:r>
    </w:p>
    <w:p>
      <w:pPr>
        <w:pStyle w:val="2"/>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hint="eastAsia" w:ascii="楷体" w:hAnsi="楷体" w:eastAsia="楷体" w:cs="楷体"/>
          <w:b w:val="0"/>
          <w:bCs w:val="0"/>
          <w:sz w:val="32"/>
          <w:szCs w:val="32"/>
        </w:rPr>
      </w:pPr>
      <w:bookmarkStart w:id="6" w:name="_Toc68703833"/>
      <w:r>
        <w:rPr>
          <w:rFonts w:hint="eastAsia" w:ascii="楷体" w:hAnsi="楷体" w:eastAsia="楷体" w:cs="楷体"/>
          <w:b w:val="0"/>
          <w:bCs w:val="0"/>
          <w:sz w:val="32"/>
          <w:szCs w:val="32"/>
        </w:rPr>
        <w:t>（三）绩效评价工作过程</w:t>
      </w:r>
      <w:bookmarkEnd w:id="6"/>
    </w:p>
    <w:p>
      <w:pPr>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b w:val="0"/>
          <w:bCs w:val="0"/>
          <w:sz w:val="32"/>
          <w:szCs w:val="32"/>
        </w:rPr>
      </w:pPr>
      <w:r>
        <w:rPr>
          <w:rFonts w:hint="eastAsia"/>
          <w:b w:val="0"/>
          <w:bCs w:val="0"/>
          <w:sz w:val="32"/>
          <w:szCs w:val="32"/>
        </w:rPr>
        <w:t>1</w:t>
      </w:r>
      <w:r>
        <w:rPr>
          <w:rFonts w:hint="eastAsia"/>
          <w:b w:val="0"/>
          <w:bCs w:val="0"/>
          <w:sz w:val="32"/>
          <w:szCs w:val="32"/>
          <w:lang w:val="en-US" w:eastAsia="zh-CN"/>
        </w:rPr>
        <w:t>.</w:t>
      </w:r>
      <w:r>
        <w:rPr>
          <w:rFonts w:hint="eastAsia"/>
          <w:b w:val="0"/>
          <w:bCs w:val="0"/>
          <w:sz w:val="32"/>
          <w:szCs w:val="32"/>
        </w:rPr>
        <w:t>前期准备</w:t>
      </w:r>
    </w:p>
    <w:p>
      <w:pPr>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2023年</w:t>
      </w:r>
      <w:r>
        <w:rPr>
          <w:rFonts w:hint="eastAsia" w:cs="Times New Roman"/>
          <w:b w:val="0"/>
          <w:bCs w:val="0"/>
          <w:sz w:val="32"/>
          <w:szCs w:val="32"/>
          <w:lang w:val="en-US" w:eastAsia="zh-CN"/>
        </w:rPr>
        <w:t>3</w:t>
      </w:r>
      <w:r>
        <w:rPr>
          <w:rFonts w:hint="eastAsia" w:ascii="Times New Roman" w:hAnsi="Times New Roman" w:cs="Times New Roman"/>
          <w:b w:val="0"/>
          <w:bCs w:val="0"/>
          <w:sz w:val="32"/>
          <w:szCs w:val="32"/>
          <w:lang w:val="en-US" w:eastAsia="zh-CN"/>
        </w:rPr>
        <w:t>月1日，</w:t>
      </w:r>
      <w:r>
        <w:rPr>
          <w:rFonts w:hint="eastAsia" w:ascii="Times New Roman" w:hAnsi="Times New Roman" w:cs="Times New Roman"/>
          <w:b w:val="0"/>
          <w:bCs w:val="0"/>
          <w:sz w:val="32"/>
          <w:szCs w:val="32"/>
          <w:lang w:val="zh-CN" w:eastAsia="zh-CN"/>
        </w:rPr>
        <w:t>开始前期准备工作，评价组通过前期调研</w:t>
      </w:r>
      <w:r>
        <w:rPr>
          <w:rFonts w:hint="eastAsia" w:ascii="Times New Roman" w:hAnsi="Times New Roman" w:cs="Times New Roman"/>
          <w:b w:val="0"/>
          <w:bCs w:val="0"/>
          <w:sz w:val="32"/>
          <w:szCs w:val="32"/>
          <w:lang w:val="en-US" w:eastAsia="zh-CN"/>
        </w:rPr>
        <w:t>确定绩效评价对象和范围，</w:t>
      </w:r>
      <w:r>
        <w:rPr>
          <w:rFonts w:hint="eastAsia" w:ascii="Times New Roman" w:hAnsi="Times New Roman" w:cs="Times New Roman"/>
          <w:b w:val="0"/>
          <w:bCs w:val="0"/>
          <w:sz w:val="32"/>
          <w:szCs w:val="32"/>
          <w:lang w:val="zh-CN" w:eastAsia="zh-CN"/>
        </w:rPr>
        <w:t>确定了评价的目的、方法以及评价的原则，根据项目的内容和特征制定了评价指标体系及评价标准以及评价实施方案，修正并确定所需资料清单，最终确定</w:t>
      </w:r>
      <w:r>
        <w:rPr>
          <w:rFonts w:hint="eastAsia" w:ascii="Times New Roman" w:hAnsi="Times New Roman" w:cs="Times New Roman"/>
          <w:b w:val="0"/>
          <w:bCs w:val="0"/>
          <w:sz w:val="32"/>
          <w:szCs w:val="32"/>
          <w:lang w:val="en-US" w:eastAsia="zh-CN"/>
        </w:rPr>
        <w:t>绩效评价工作方案；</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b w:val="0"/>
          <w:bCs w:val="0"/>
          <w:sz w:val="32"/>
          <w:szCs w:val="32"/>
        </w:rPr>
      </w:pPr>
      <w:r>
        <w:rPr>
          <w:rFonts w:hint="eastAsia"/>
          <w:b w:val="0"/>
          <w:bCs w:val="0"/>
          <w:sz w:val="32"/>
          <w:szCs w:val="32"/>
          <w:lang w:val="en-US" w:eastAsia="zh-CN"/>
        </w:rPr>
        <w:t>2.</w:t>
      </w:r>
      <w:r>
        <w:rPr>
          <w:rFonts w:hint="eastAsia"/>
          <w:b w:val="0"/>
          <w:bCs w:val="0"/>
          <w:sz w:val="32"/>
          <w:szCs w:val="32"/>
        </w:rPr>
        <w:t>组织实施</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b w:val="0"/>
          <w:bCs w:val="0"/>
          <w:sz w:val="32"/>
          <w:szCs w:val="32"/>
          <w:lang w:val="en-US" w:eastAsia="zh-CN"/>
        </w:rPr>
        <w:t>2023年</w:t>
      </w:r>
      <w:r>
        <w:rPr>
          <w:rFonts w:hint="eastAsia" w:cs="Times New Roman"/>
          <w:b w:val="0"/>
          <w:bCs w:val="0"/>
          <w:sz w:val="32"/>
          <w:szCs w:val="32"/>
          <w:lang w:val="en-US" w:eastAsia="zh-CN"/>
        </w:rPr>
        <w:t>3</w:t>
      </w:r>
      <w:r>
        <w:rPr>
          <w:rFonts w:hint="eastAsia" w:ascii="Times New Roman" w:hAnsi="Times New Roman" w:cs="Times New Roman"/>
          <w:b w:val="0"/>
          <w:bCs w:val="0"/>
          <w:sz w:val="32"/>
          <w:szCs w:val="32"/>
          <w:lang w:val="en-US" w:eastAsia="zh-CN"/>
        </w:rPr>
        <w:t>月</w:t>
      </w:r>
      <w:r>
        <w:rPr>
          <w:rFonts w:hint="eastAsia" w:cs="Times New Roman"/>
          <w:b w:val="0"/>
          <w:bCs w:val="0"/>
          <w:sz w:val="32"/>
          <w:szCs w:val="32"/>
          <w:lang w:val="en-US" w:eastAsia="zh-CN"/>
        </w:rPr>
        <w:t>18</w:t>
      </w:r>
      <w:r>
        <w:rPr>
          <w:rFonts w:hint="eastAsia" w:ascii="Times New Roman" w:hAnsi="Times New Roman" w:cs="Times New Roman"/>
          <w:b w:val="0"/>
          <w:bCs w:val="0"/>
          <w:sz w:val="32"/>
          <w:szCs w:val="32"/>
          <w:lang w:val="en-US" w:eastAsia="zh-CN"/>
        </w:rPr>
        <w:t>日，评价工作进入实施阶段，评价组收集绩效评价相关数据资</w:t>
      </w:r>
      <w:r>
        <w:rPr>
          <w:rFonts w:hint="eastAsia" w:ascii="Times New Roman" w:hAnsi="Times New Roman" w:cs="Times New Roman"/>
          <w:sz w:val="32"/>
          <w:szCs w:val="32"/>
          <w:lang w:val="en-US" w:eastAsia="zh-CN"/>
        </w:rPr>
        <w:t>料，进行现场调研、座谈；并与项目实施负责人沟通，了解资金的内容、操作流程、管理机制、资金使用方向等情况，分析形成初步结论。</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b w:val="0"/>
          <w:bCs w:val="0"/>
          <w:sz w:val="32"/>
          <w:szCs w:val="32"/>
        </w:rPr>
      </w:pPr>
      <w:r>
        <w:rPr>
          <w:rFonts w:hint="eastAsia"/>
          <w:b w:val="0"/>
          <w:bCs w:val="0"/>
          <w:sz w:val="32"/>
          <w:szCs w:val="32"/>
          <w:lang w:val="en-US" w:eastAsia="zh-CN"/>
        </w:rPr>
        <w:t>3.</w:t>
      </w:r>
      <w:r>
        <w:rPr>
          <w:rFonts w:hint="eastAsia"/>
          <w:b w:val="0"/>
          <w:bCs w:val="0"/>
          <w:sz w:val="32"/>
          <w:szCs w:val="32"/>
        </w:rPr>
        <w:t>分析评价</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cs="Times New Roman"/>
          <w:sz w:val="32"/>
          <w:szCs w:val="32"/>
        </w:rPr>
      </w:pPr>
      <w:r>
        <w:rPr>
          <w:rFonts w:hint="eastAsia" w:ascii="Times New Roman" w:hAnsi="Times New Roman" w:cs="Times New Roman"/>
          <w:b w:val="0"/>
          <w:bCs w:val="0"/>
          <w:sz w:val="32"/>
          <w:szCs w:val="32"/>
        </w:rPr>
        <w:t>20</w:t>
      </w:r>
      <w:r>
        <w:rPr>
          <w:rFonts w:hint="eastAsia" w:ascii="Times New Roman" w:hAnsi="Times New Roman" w:cs="Times New Roman"/>
          <w:sz w:val="32"/>
          <w:szCs w:val="32"/>
        </w:rPr>
        <w:t>2</w:t>
      </w: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rPr>
        <w:t>年</w:t>
      </w:r>
      <w:r>
        <w:rPr>
          <w:rFonts w:hint="eastAsia" w:cs="Times New Roman"/>
          <w:sz w:val="32"/>
          <w:szCs w:val="32"/>
          <w:lang w:val="en-US" w:eastAsia="zh-CN"/>
        </w:rPr>
        <w:t>3</w:t>
      </w:r>
      <w:r>
        <w:rPr>
          <w:rFonts w:hint="eastAsia" w:ascii="Times New Roman" w:hAnsi="Times New Roman" w:cs="Times New Roman"/>
          <w:sz w:val="32"/>
          <w:szCs w:val="32"/>
        </w:rPr>
        <w:t>月</w:t>
      </w:r>
      <w:r>
        <w:rPr>
          <w:rFonts w:hint="eastAsia" w:ascii="Times New Roman" w:hAnsi="Times New Roman" w:cs="Times New Roman"/>
          <w:sz w:val="32"/>
          <w:szCs w:val="32"/>
          <w:lang w:val="en-US" w:eastAsia="zh-CN"/>
        </w:rPr>
        <w:t>1</w:t>
      </w:r>
      <w:r>
        <w:rPr>
          <w:rFonts w:hint="eastAsia" w:cs="Times New Roman"/>
          <w:sz w:val="32"/>
          <w:szCs w:val="32"/>
          <w:lang w:val="en-US" w:eastAsia="zh-CN"/>
        </w:rPr>
        <w:t>9</w:t>
      </w:r>
      <w:r>
        <w:rPr>
          <w:rFonts w:hint="eastAsia" w:ascii="Times New Roman" w:hAnsi="Times New Roman" w:cs="Times New Roman"/>
          <w:sz w:val="32"/>
          <w:szCs w:val="32"/>
        </w:rPr>
        <w:t>日-</w:t>
      </w: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rPr>
        <w:t>月</w:t>
      </w:r>
      <w:r>
        <w:rPr>
          <w:rFonts w:hint="eastAsia" w:cs="Times New Roman"/>
          <w:sz w:val="32"/>
          <w:szCs w:val="32"/>
          <w:lang w:val="en-US" w:eastAsia="zh-CN"/>
        </w:rPr>
        <w:t>28</w:t>
      </w:r>
      <w:r>
        <w:rPr>
          <w:rFonts w:hint="eastAsia" w:ascii="Times New Roman" w:hAnsi="Times New Roman" w:cs="Times New Roman"/>
          <w:sz w:val="32"/>
          <w:szCs w:val="32"/>
        </w:rPr>
        <w:t>日，评价组按照绩效评价的原则和规范，对取得的资料进行审查核实，对采集的数据进行分析，按照绩效评价指标评分表逐项进行打分、分析，汇总各方评价结果，综合分析并形成评价结论。</w:t>
      </w:r>
    </w:p>
    <w:p>
      <w:pPr>
        <w:pStyle w:val="3"/>
        <w:pageBreakBefore w:val="0"/>
        <w:widowControl w:val="0"/>
        <w:kinsoku/>
        <w:wordWrap/>
        <w:overflowPunct/>
        <w:topLinePunct w:val="0"/>
        <w:autoSpaceDE/>
        <w:autoSpaceDN/>
        <w:bidi w:val="0"/>
        <w:adjustRightInd/>
        <w:snapToGrid/>
        <w:spacing w:before="0" w:after="0" w:line="520" w:lineRule="exact"/>
        <w:ind w:firstLine="643" w:firstLineChars="200"/>
        <w:jc w:val="both"/>
        <w:textAlignment w:val="auto"/>
        <w:rPr>
          <w:rFonts w:hint="eastAsia" w:ascii="黑体" w:hAnsi="黑体" w:eastAsia="黑体" w:cs="黑体"/>
          <w:b w:val="0"/>
          <w:bCs w:val="0"/>
          <w:sz w:val="32"/>
          <w:szCs w:val="32"/>
        </w:rPr>
      </w:pPr>
      <w:bookmarkStart w:id="7" w:name="_Toc68703834"/>
      <w:r>
        <w:rPr>
          <w:rFonts w:hint="eastAsia" w:ascii="宋体" w:hAnsi="宋体" w:eastAsia="宋体" w:cs="宋体"/>
          <w:b/>
          <w:bCs/>
          <w:sz w:val="32"/>
          <w:szCs w:val="32"/>
        </w:rPr>
        <w:t>三、综合评价情况及评价结论</w:t>
      </w:r>
      <w:bookmarkEnd w:id="7"/>
    </w:p>
    <w:p>
      <w:pPr>
        <w:pStyle w:val="2"/>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bookmarkStart w:id="8" w:name="_Toc68703835"/>
      <w:r>
        <w:rPr>
          <w:rFonts w:hint="eastAsia" w:ascii="Times New Roman" w:hAnsi="Times New Roman" w:eastAsia="仿宋_GB2312" w:cs="Times New Roman"/>
          <w:b w:val="0"/>
          <w:bCs w:val="0"/>
          <w:kern w:val="2"/>
          <w:sz w:val="32"/>
          <w:szCs w:val="32"/>
          <w:lang w:val="en-US" w:eastAsia="zh-CN" w:bidi="ar-SA"/>
        </w:rPr>
        <w:t>（一）综合评价情况</w:t>
      </w:r>
      <w:bookmarkEnd w:id="8"/>
    </w:p>
    <w:p>
      <w:pPr>
        <w:pStyle w:val="2"/>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hint="eastAsia" w:ascii="Times New Roman" w:hAnsi="Times New Roman" w:eastAsia="仿宋_GB2312" w:cs="Times New Roman"/>
          <w:b w:val="0"/>
          <w:bCs w:val="0"/>
          <w:kern w:val="2"/>
          <w:sz w:val="32"/>
          <w:szCs w:val="32"/>
          <w:lang w:val="zh-CN" w:eastAsia="zh-CN" w:bidi="ar-SA"/>
        </w:rPr>
      </w:pPr>
      <w:r>
        <w:rPr>
          <w:rFonts w:hint="eastAsia" w:ascii="Times New Roman" w:hAnsi="Times New Roman" w:eastAsia="仿宋_GB2312" w:cs="Times New Roman"/>
          <w:b w:val="0"/>
          <w:bCs w:val="0"/>
          <w:kern w:val="2"/>
          <w:sz w:val="32"/>
          <w:szCs w:val="32"/>
          <w:lang w:val="en-US" w:eastAsia="zh-CN" w:bidi="ar-SA"/>
        </w:rPr>
        <w:t>本项目严格按照科学公正、统筹兼顾、激励约束、公开透明的绩效评价原则，采用成本效益分析法、因素分析法等评价方法，坚持上级下达的绩效评价标准对本项目的立项、绩效目标、资金投入、资金管理、组织实施、产出数量、产出质量、产出时效、产出成本、项目效益进行了综合评价。</w:t>
      </w:r>
    </w:p>
    <w:p>
      <w:pPr>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Times New Roman" w:hAnsi="Times New Roman" w:eastAsia="仿宋_GB2312" w:cs="Times New Roman"/>
          <w:b w:val="0"/>
          <w:bCs w:val="0"/>
          <w:kern w:val="2"/>
          <w:sz w:val="32"/>
          <w:szCs w:val="32"/>
          <w:lang w:val="zh-CN" w:eastAsia="zh-CN" w:bidi="ar-SA"/>
        </w:rPr>
      </w:pPr>
      <w:r>
        <w:rPr>
          <w:rFonts w:hint="eastAsia" w:ascii="Times New Roman" w:hAnsi="Times New Roman" w:eastAsia="仿宋_GB2312" w:cs="Times New Roman"/>
          <w:b w:val="0"/>
          <w:bCs w:val="0"/>
          <w:kern w:val="2"/>
          <w:sz w:val="32"/>
          <w:szCs w:val="32"/>
          <w:lang w:val="en-US" w:eastAsia="zh-CN" w:bidi="ar-SA"/>
        </w:rPr>
        <w:t>离退休干部活动费</w:t>
      </w:r>
      <w:r>
        <w:rPr>
          <w:rFonts w:hint="eastAsia" w:ascii="Times New Roman" w:hAnsi="Times New Roman" w:eastAsia="仿宋_GB2312" w:cs="Times New Roman"/>
          <w:b w:val="0"/>
          <w:bCs w:val="0"/>
          <w:kern w:val="2"/>
          <w:sz w:val="32"/>
          <w:szCs w:val="32"/>
          <w:lang w:val="zh-CN" w:eastAsia="zh-CN" w:bidi="ar-SA"/>
        </w:rPr>
        <w:t>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kern w:val="2"/>
                <w:sz w:val="22"/>
                <w:szCs w:val="24"/>
                <w:lang w:val="en-US" w:eastAsia="zh-CN" w:bidi="ar-SA"/>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kern w:val="2"/>
                <w:sz w:val="22"/>
                <w:szCs w:val="24"/>
                <w:lang w:val="en-US" w:eastAsia="zh-CN" w:bidi="ar-SA"/>
              </w:rPr>
            </w:pPr>
            <w:r>
              <w:rPr>
                <w:rFonts w:hint="eastAsia"/>
                <w:b/>
                <w:bCs/>
                <w:color w:val="000000"/>
                <w:sz w:val="22"/>
                <w:lang w:val="en-US" w:eastAsia="zh-CN"/>
              </w:rPr>
              <w:t>100</w:t>
            </w:r>
          </w:p>
        </w:tc>
      </w:tr>
    </w:tbl>
    <w:p>
      <w:pPr>
        <w:pStyle w:val="2"/>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textAlignment w:val="auto"/>
        <w:rPr>
          <w:rFonts w:hint="eastAsia" w:ascii="Times New Roman" w:hAnsi="Times New Roman" w:eastAsia="仿宋_GB2312" w:cs="Times New Roman"/>
          <w:b w:val="0"/>
          <w:bCs w:val="0"/>
          <w:kern w:val="2"/>
          <w:sz w:val="32"/>
          <w:szCs w:val="32"/>
          <w:lang w:val="en-US" w:eastAsia="zh-CN" w:bidi="ar-SA"/>
        </w:rPr>
      </w:pPr>
      <w:bookmarkStart w:id="9" w:name="_Toc68703836"/>
      <w:r>
        <w:rPr>
          <w:rFonts w:hint="eastAsia" w:ascii="Times New Roman" w:hAnsi="Times New Roman" w:eastAsia="仿宋_GB2312" w:cs="Times New Roman"/>
          <w:b w:val="0"/>
          <w:bCs w:val="0"/>
          <w:kern w:val="2"/>
          <w:sz w:val="32"/>
          <w:szCs w:val="32"/>
          <w:lang w:val="en-US" w:eastAsia="zh-CN" w:bidi="ar-SA"/>
        </w:rPr>
        <w:t>评价结论</w:t>
      </w:r>
      <w:bookmarkEnd w:id="9"/>
    </w:p>
    <w:p>
      <w:pPr>
        <w:pStyle w:val="2"/>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本项目的项目决策、项目过程、项目产出、项目效益均达到了预期要求，最终评分为100分，评价等级为“优”项目达成年度指标。</w:t>
      </w:r>
    </w:p>
    <w:p>
      <w:pPr>
        <w:pStyle w:val="3"/>
        <w:pageBreakBefore w:val="0"/>
        <w:widowControl w:val="0"/>
        <w:kinsoku/>
        <w:wordWrap/>
        <w:overflowPunct/>
        <w:topLinePunct w:val="0"/>
        <w:autoSpaceDE/>
        <w:autoSpaceDN/>
        <w:bidi w:val="0"/>
        <w:adjustRightInd/>
        <w:snapToGrid/>
        <w:spacing w:before="0" w:after="0" w:line="520" w:lineRule="exact"/>
        <w:ind w:firstLine="643" w:firstLineChars="200"/>
        <w:textAlignment w:val="auto"/>
        <w:rPr>
          <w:rFonts w:hint="eastAsia" w:ascii="宋体" w:hAnsi="宋体" w:eastAsia="宋体" w:cs="宋体"/>
          <w:b/>
          <w:bCs/>
          <w:sz w:val="32"/>
          <w:szCs w:val="32"/>
        </w:rPr>
      </w:pPr>
      <w:bookmarkStart w:id="10" w:name="_Toc68703837"/>
      <w:r>
        <w:rPr>
          <w:rFonts w:hint="eastAsia" w:ascii="宋体" w:hAnsi="宋体" w:eastAsia="宋体" w:cs="宋体"/>
          <w:b/>
          <w:bCs/>
          <w:sz w:val="32"/>
          <w:szCs w:val="32"/>
        </w:rPr>
        <w:t>四、绩效评价指标分析</w:t>
      </w:r>
      <w:bookmarkEnd w:id="10"/>
    </w:p>
    <w:p>
      <w:pPr>
        <w:pStyle w:val="2"/>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Times New Roman" w:hAnsi="Times New Roman" w:eastAsia="仿宋_GB2312" w:cs="Times New Roman"/>
          <w:b w:val="0"/>
          <w:bCs w:val="0"/>
          <w:kern w:val="2"/>
          <w:sz w:val="32"/>
          <w:szCs w:val="32"/>
          <w:lang w:val="en-US" w:eastAsia="zh-CN" w:bidi="ar-SA"/>
        </w:rPr>
      </w:pPr>
      <w:bookmarkStart w:id="11" w:name="_Toc68703838"/>
      <w:r>
        <w:rPr>
          <w:rFonts w:hint="eastAsia" w:ascii="Times New Roman" w:hAnsi="Times New Roman" w:eastAsia="仿宋_GB2312" w:cs="Times New Roman"/>
          <w:b w:val="0"/>
          <w:bCs w:val="0"/>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1.立项依据充分性</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项目立项依据依据自治区党委印发新党组通字[2014]11号和伊州党组【2021】19号以及霍财预【2022】1号。为进一步落实好离退休干部政治、生活待遇，体现自治区党委和政府对离退休干部的关怀和照顾，切实保障离退休干部的活动正常运行。充分发挥离退休干部作用，让老干部“老有所学，老有所教，老有所乐，老有所医”。</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2.</w:t>
      </w:r>
      <w:r>
        <w:rPr>
          <w:rFonts w:hint="eastAsia" w:ascii="Times New Roman" w:hAnsi="Times New Roman" w:eastAsia="仿宋_GB2312" w:cs="Times New Roman"/>
          <w:b w:val="0"/>
          <w:bCs w:val="0"/>
          <w:kern w:val="2"/>
          <w:sz w:val="32"/>
          <w:szCs w:val="32"/>
          <w:lang w:val="en-US" w:eastAsia="zh-CN" w:bidi="ar-SA"/>
        </w:rPr>
        <w:t>立项程序规范性</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我单位项目严格按照规定的程序审批文件、材料符合相关要求；事前已经过必要的可行性研究、财政局论证、风险评估、绩效评估、集体决策。</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绩效目标合理性</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我单位项目有绩效目标；项目绩效目标与实际工作内容具有相关性；项目预期产出效益和效果符合正常的业绩水平；完全与预算确定的项目投资额或资金量相匹配。</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4.</w:t>
      </w:r>
      <w:r>
        <w:rPr>
          <w:rFonts w:hint="eastAsia" w:ascii="Times New Roman" w:hAnsi="Times New Roman" w:eastAsia="仿宋_GB2312" w:cs="Times New Roman"/>
          <w:b w:val="0"/>
          <w:bCs w:val="0"/>
          <w:kern w:val="2"/>
          <w:sz w:val="32"/>
          <w:szCs w:val="32"/>
          <w:lang w:val="en-US" w:eastAsia="zh-CN" w:bidi="ar-SA"/>
        </w:rPr>
        <w:t>绩效指标明确性</w:t>
      </w:r>
      <w:bookmarkStart w:id="12" w:name="_Hlk68699917"/>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离退休活动费项目将项目绩效目标细化分解为具体的绩效指标，一级指标共3条，二级指标共</w:t>
      </w:r>
      <w:r>
        <w:rPr>
          <w:rFonts w:hint="eastAsia" w:cs="Times New Roman"/>
          <w:b w:val="0"/>
          <w:bCs w:val="0"/>
          <w:kern w:val="2"/>
          <w:sz w:val="32"/>
          <w:szCs w:val="32"/>
          <w:lang w:val="en-US" w:eastAsia="zh-CN" w:bidi="ar-SA"/>
        </w:rPr>
        <w:t>6</w:t>
      </w:r>
      <w:r>
        <w:rPr>
          <w:rFonts w:hint="eastAsia" w:ascii="Times New Roman" w:hAnsi="Times New Roman" w:eastAsia="仿宋_GB2312" w:cs="Times New Roman"/>
          <w:b w:val="0"/>
          <w:bCs w:val="0"/>
          <w:kern w:val="2"/>
          <w:sz w:val="32"/>
          <w:szCs w:val="32"/>
          <w:lang w:val="en-US" w:eastAsia="zh-CN" w:bidi="ar-SA"/>
        </w:rPr>
        <w:t>条，三级指标共14条，其中量化指标条数共1</w:t>
      </w:r>
      <w:r>
        <w:rPr>
          <w:rFonts w:hint="eastAsia"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条，所有绩效指标均通过清晰、可衡量的指标值予以体现，并且做到了与项目目标任务数或计划数相对应。</w:t>
      </w:r>
      <w:bookmarkEnd w:id="12"/>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5.</w:t>
      </w:r>
      <w:r>
        <w:rPr>
          <w:rFonts w:hint="eastAsia" w:ascii="Times New Roman" w:hAnsi="Times New Roman" w:eastAsia="仿宋_GB2312" w:cs="Times New Roman"/>
          <w:b w:val="0"/>
          <w:bCs w:val="0"/>
          <w:kern w:val="2"/>
          <w:sz w:val="32"/>
          <w:szCs w:val="32"/>
          <w:lang w:val="en-US" w:eastAsia="zh-CN" w:bidi="ar-SA"/>
        </w:rPr>
        <w:t>预算编制科学性</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我单位预算编制经过科学论证；预算内容与项目内容完全匹配；预算额度测算依据充分，严格按照标准编制；预算确定的项目投资额或资金量与工作任务相匹配。</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6.</w:t>
      </w:r>
      <w:r>
        <w:rPr>
          <w:rFonts w:hint="eastAsia" w:ascii="Times New Roman" w:hAnsi="Times New Roman" w:eastAsia="仿宋_GB2312" w:cs="Times New Roman"/>
          <w:b w:val="0"/>
          <w:bCs w:val="0"/>
          <w:kern w:val="2"/>
          <w:sz w:val="32"/>
          <w:szCs w:val="32"/>
          <w:lang w:val="en-US" w:eastAsia="zh-CN" w:bidi="ar-SA"/>
        </w:rPr>
        <w:t>资金分配合理性</w:t>
      </w:r>
      <w:bookmarkStart w:id="13" w:name="_Toc68703839"/>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我单位预算资金分配依据充分；资金分配额度合理，与项目单位或地方实际相适应。</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（二）项目过程情况</w:t>
      </w:r>
      <w:bookmarkEnd w:id="13"/>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1.资金到位率</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预算资金23万元，实际到位资金23万元，资金到位率100%。</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2.</w:t>
      </w:r>
      <w:r>
        <w:rPr>
          <w:rFonts w:hint="eastAsia" w:ascii="Times New Roman" w:hAnsi="Times New Roman" w:eastAsia="仿宋_GB2312" w:cs="Times New Roman"/>
          <w:b w:val="0"/>
          <w:bCs w:val="0"/>
          <w:kern w:val="2"/>
          <w:sz w:val="32"/>
          <w:szCs w:val="32"/>
          <w:lang w:val="en-US" w:eastAsia="zh-CN" w:bidi="ar-SA"/>
        </w:rPr>
        <w:t>预算执行率</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年初预算数23万元，全年预算数23万元，全年执行数23万元，预算执行率为100%。</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资金使用合规性</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我单位资金符合国家财经法规和财务管理制度以及有关专项资金管理办法的规定；资金的拨付有完整的审批程序和手续；符合项目预算批复或合同规定的用途；资金不存在截留、挤占、挪用、虚列支出等情况。</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4.</w:t>
      </w:r>
      <w:r>
        <w:rPr>
          <w:rFonts w:hint="eastAsia" w:ascii="Times New Roman" w:hAnsi="Times New Roman" w:eastAsia="仿宋_GB2312" w:cs="Times New Roman"/>
          <w:b w:val="0"/>
          <w:bCs w:val="0"/>
          <w:kern w:val="2"/>
          <w:sz w:val="32"/>
          <w:szCs w:val="32"/>
          <w:lang w:val="en-US" w:eastAsia="zh-CN" w:bidi="ar-SA"/>
        </w:rPr>
        <w:t>管理制度健全性</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我单位已制定相应的财务和业务管理制度；财务和业务管理制度合法、合规、完整。</w:t>
      </w:r>
    </w:p>
    <w:p>
      <w:pPr>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Times New Roman" w:hAnsi="Times New Roman" w:eastAsia="仿宋_GB2312" w:cs="Times New Roman"/>
          <w:b/>
          <w:bCs/>
          <w:kern w:val="2"/>
          <w:sz w:val="32"/>
          <w:szCs w:val="32"/>
          <w:lang w:val="en-US" w:eastAsia="zh-CN" w:bidi="ar-SA"/>
        </w:rPr>
      </w:pPr>
      <w:r>
        <w:rPr>
          <w:rFonts w:hint="eastAsia" w:cs="Times New Roman"/>
          <w:b w:val="0"/>
          <w:bCs w:val="0"/>
          <w:kern w:val="2"/>
          <w:sz w:val="32"/>
          <w:szCs w:val="32"/>
          <w:lang w:val="en-US" w:eastAsia="zh-CN" w:bidi="ar-SA"/>
        </w:rPr>
        <w:t>5.</w:t>
      </w:r>
      <w:r>
        <w:rPr>
          <w:rFonts w:hint="eastAsia" w:ascii="Times New Roman" w:hAnsi="Times New Roman" w:eastAsia="仿宋_GB2312" w:cs="Times New Roman"/>
          <w:b w:val="0"/>
          <w:bCs w:val="0"/>
          <w:kern w:val="2"/>
          <w:sz w:val="32"/>
          <w:szCs w:val="32"/>
          <w:lang w:val="en-US" w:eastAsia="zh-CN" w:bidi="ar-SA"/>
        </w:rPr>
        <w:t>制度执行有效性</w:t>
      </w:r>
      <w:bookmarkStart w:id="14" w:name="_Toc68703840"/>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我单位遵守相关法律法规和相关管理规定；不存在项目调整及支出调整；项目方案、开展活动等资料齐全并及时归档；项目实施的人员条件、场地设备、信息支撑等落实到位。</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（三）项目产出情况</w:t>
      </w:r>
      <w:bookmarkEnd w:id="14"/>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bookmarkStart w:id="15" w:name="_Toc68703841"/>
      <w:r>
        <w:rPr>
          <w:rFonts w:hint="eastAsia" w:ascii="仿宋" w:hAnsi="仿宋" w:eastAsia="仿宋" w:cs="仿宋"/>
          <w:b w:val="0"/>
          <w:bCs w:val="0"/>
          <w:kern w:val="2"/>
          <w:sz w:val="32"/>
          <w:szCs w:val="32"/>
          <w:lang w:val="en-US" w:eastAsia="zh-CN" w:bidi="ar-SA"/>
        </w:rPr>
        <w:t>1.数量指标。</w:t>
      </w:r>
      <w:r>
        <w:rPr>
          <w:rFonts w:hint="eastAsia" w:ascii="Times New Roman" w:hAnsi="Times New Roman" w:eastAsia="仿宋_GB2312" w:cs="Times New Roman"/>
          <w:b w:val="0"/>
          <w:bCs w:val="0"/>
          <w:kern w:val="2"/>
          <w:sz w:val="32"/>
          <w:szCs w:val="32"/>
          <w:lang w:val="en-US" w:eastAsia="zh-CN" w:bidi="ar-SA"/>
        </w:rPr>
        <w:t>指标1：组织老干部各项活动次数，指标值：</w:t>
      </w:r>
      <w:r>
        <w:rPr>
          <w:rFonts w:hint="eastAsia"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10次，实际完成值11次，指标完成率100%；指标2：走访慰问老干部次数，指标值：</w:t>
      </w:r>
      <w:r>
        <w:rPr>
          <w:rFonts w:hint="eastAsia"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40次，实际完成值40次，指标完成率100%；指标3：供暖面积，指标值：</w:t>
      </w:r>
      <w:r>
        <w:rPr>
          <w:rFonts w:hint="eastAsia"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4551.57平方米，实际完成值4551.57平方米，指标完成率100%。</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2.质量指标。指标</w:t>
      </w:r>
      <w:r>
        <w:rPr>
          <w:rFonts w:hint="eastAsia" w:ascii="仿宋" w:hAnsi="仿宋" w:eastAsia="仿宋" w:cs="仿宋"/>
          <w:b w:val="0"/>
          <w:bCs w:val="0"/>
          <w:kern w:val="2"/>
          <w:sz w:val="32"/>
          <w:szCs w:val="32"/>
          <w:lang w:val="en-US" w:eastAsia="zh-CN" w:bidi="ar-SA"/>
        </w:rPr>
        <w:t>1：保证老干部活动完成率，指标值：</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95%，实际完成值95%，指标完成率100%；指标2：走访慰问老干部覆盖率，指标值：</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2%，实际完成值2%，指标完成100%；指标3：室内温度达标率，指标值：=100%，实际完成值100%，指标完成100%。</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3.时效指标</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指标1：活动按时完成率，指标值：</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95%，实际完成值95%，指标完成率100%；指标2：暖气费支付及时率，指标值：</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90%，实际完成值90%，指标完成100%。</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4.成本指标</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指标1：走访慰问老干部支出，指标值：≤1.5万元，实际完成值1.5万元，指标完成率100%；指标2：老干部开展各项活动,活动中心运转费用，指标值：≤13万元，实际完成值13万元，指标完成100%；指标3：暖气费收费标准，指标值：≤19元／平方米，实际完成值19元／平方米，指标完成100%。</w:t>
      </w:r>
    </w:p>
    <w:p>
      <w:pPr>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（四）项目效益情况</w:t>
      </w:r>
      <w:bookmarkEnd w:id="15"/>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kern w:val="2"/>
          <w:sz w:val="32"/>
          <w:szCs w:val="32"/>
          <w:lang w:val="en-US" w:eastAsia="zh-CN" w:bidi="ar-SA"/>
        </w:rPr>
      </w:pPr>
      <w:bookmarkStart w:id="16" w:name="_Toc68703842"/>
      <w:r>
        <w:rPr>
          <w:rFonts w:hint="eastAsia" w:cs="Times New Roman"/>
          <w:b w:val="0"/>
          <w:bCs w:val="0"/>
          <w:kern w:val="2"/>
          <w:sz w:val="32"/>
          <w:szCs w:val="32"/>
          <w:lang w:val="en-US" w:eastAsia="zh-CN" w:bidi="ar-SA"/>
        </w:rPr>
        <w:t>1</w:t>
      </w:r>
      <w:r>
        <w:rPr>
          <w:rFonts w:hint="eastAsia" w:ascii="Times New Roman" w:hAnsi="Times New Roman" w:eastAsia="仿宋_GB2312" w:cs="Times New Roman"/>
          <w:b w:val="0"/>
          <w:bCs w:val="0"/>
          <w:kern w:val="2"/>
          <w:sz w:val="32"/>
          <w:szCs w:val="32"/>
          <w:lang w:val="en-US" w:eastAsia="zh-CN" w:bidi="ar-SA"/>
        </w:rPr>
        <w:t>.社会效益指标</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指标1：提高离退休干部幸福指数，指标值：有效提高，实际完成值：有效提高，指标完成率100％。</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cs="Times New Roman"/>
          <w:b w:val="0"/>
          <w:bCs w:val="0"/>
          <w:kern w:val="2"/>
          <w:sz w:val="32"/>
          <w:szCs w:val="32"/>
          <w:lang w:val="en-US" w:eastAsia="zh-CN" w:bidi="ar-SA"/>
        </w:rPr>
        <w:t>2</w:t>
      </w:r>
      <w:r>
        <w:rPr>
          <w:rFonts w:hint="eastAsia" w:ascii="Times New Roman" w:hAnsi="Times New Roman" w:eastAsia="仿宋_GB2312" w:cs="Times New Roman"/>
          <w:b w:val="0"/>
          <w:bCs w:val="0"/>
          <w:kern w:val="2"/>
          <w:sz w:val="32"/>
          <w:szCs w:val="32"/>
          <w:lang w:val="en-US" w:eastAsia="zh-CN" w:bidi="ar-SA"/>
        </w:rPr>
        <w:t>.满意度指标。指</w:t>
      </w:r>
      <w:r>
        <w:rPr>
          <w:rFonts w:hint="eastAsia" w:ascii="仿宋" w:hAnsi="仿宋" w:eastAsia="仿宋" w:cs="仿宋"/>
          <w:b w:val="0"/>
          <w:bCs w:val="0"/>
          <w:kern w:val="2"/>
          <w:sz w:val="32"/>
          <w:szCs w:val="32"/>
          <w:lang w:val="en-US" w:eastAsia="zh-CN" w:bidi="ar-SA"/>
        </w:rPr>
        <w:t>标1：参加活动人员满意度，指标值：</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95%，实际完成值95%，指标完成率100%；指标2：离退休老干部满意度，指标值：</w:t>
      </w:r>
      <w:r>
        <w:rPr>
          <w:rFonts w:hint="eastAsia" w:cs="Times New Roman"/>
          <w:b w:val="0"/>
          <w:bCs w:val="0"/>
          <w:kern w:val="2"/>
          <w:sz w:val="32"/>
          <w:szCs w:val="32"/>
          <w:lang w:val="en-US" w:eastAsia="zh-CN" w:bidi="ar-SA"/>
        </w:rPr>
        <w:t>≥</w:t>
      </w:r>
      <w:r>
        <w:rPr>
          <w:rFonts w:hint="eastAsia" w:ascii="仿宋" w:hAnsi="仿宋" w:eastAsia="仿宋" w:cs="仿宋"/>
          <w:b w:val="0"/>
          <w:bCs w:val="0"/>
          <w:kern w:val="2"/>
          <w:sz w:val="32"/>
          <w:szCs w:val="32"/>
          <w:lang w:val="en-US" w:eastAsia="zh-CN" w:bidi="ar-SA"/>
        </w:rPr>
        <w:t>90%，实际完成值90%，指标完成100%。</w:t>
      </w:r>
    </w:p>
    <w:p>
      <w:pPr>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五、主要经验及做法、存在的问题及原因分析</w:t>
      </w:r>
      <w:bookmarkEnd w:id="16"/>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bookmarkStart w:id="17" w:name="_Toc68703843"/>
      <w:r>
        <w:rPr>
          <w:rFonts w:hint="eastAsia" w:ascii="Times New Roman" w:hAnsi="Times New Roman" w:eastAsia="仿宋_GB2312" w:cs="Times New Roman"/>
          <w:b w:val="0"/>
          <w:bCs w:val="0"/>
          <w:kern w:val="2"/>
          <w:sz w:val="32"/>
          <w:szCs w:val="32"/>
          <w:lang w:val="en-US" w:eastAsia="zh-CN" w:bidi="ar-SA"/>
        </w:rPr>
        <w:t>（一）主要经验及做法</w:t>
      </w:r>
      <w:bookmarkEnd w:id="17"/>
      <w:r>
        <w:rPr>
          <w:rFonts w:hint="eastAsia" w:ascii="Times New Roman" w:hAnsi="Times New Roman" w:eastAsia="仿宋_GB2312" w:cs="Times New Roman"/>
          <w:b w:val="0"/>
          <w:bCs w:val="0"/>
          <w:kern w:val="2"/>
          <w:sz w:val="32"/>
          <w:szCs w:val="32"/>
          <w:lang w:val="en-US" w:eastAsia="zh-CN" w:bidi="ar-SA"/>
        </w:rPr>
        <w:t>。我单位在县委、县政府的正确领导下，在县委组织部等相关部门的大力支持配合下，深入贯彻党的</w:t>
      </w:r>
      <w:r>
        <w:rPr>
          <w:rFonts w:hint="eastAsia" w:cs="Times New Roman"/>
          <w:b w:val="0"/>
          <w:bCs w:val="0"/>
          <w:kern w:val="2"/>
          <w:sz w:val="32"/>
          <w:szCs w:val="32"/>
          <w:lang w:val="en-US" w:eastAsia="zh-CN" w:bidi="ar-SA"/>
        </w:rPr>
        <w:t>二十大</w:t>
      </w:r>
      <w:r>
        <w:rPr>
          <w:rFonts w:hint="eastAsia" w:ascii="Times New Roman" w:hAnsi="Times New Roman" w:eastAsia="仿宋_GB2312" w:cs="Times New Roman"/>
          <w:b w:val="0"/>
          <w:bCs w:val="0"/>
          <w:kern w:val="2"/>
          <w:sz w:val="32"/>
          <w:szCs w:val="32"/>
          <w:lang w:val="en-US" w:eastAsia="zh-CN" w:bidi="ar-SA"/>
        </w:rPr>
        <w:t>全会及县委、县政府有关会议精神，全面贯彻落实好老干部“两项待遇”、保障老干部老有所教、老有所学、老有所乐，为全县经济社会又好又快发展提供优质高效的服务。结合项目自身特点、评价重点及管理办法等要求，为老干部解决所盼所需，得到老干部的高度赞誉，项目管理规范有序，项目绩效达到预期的社会效益。</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bookmarkStart w:id="18" w:name="_Toc68703844"/>
      <w:r>
        <w:rPr>
          <w:rFonts w:hint="eastAsia" w:ascii="Times New Roman" w:hAnsi="Times New Roman" w:eastAsia="仿宋_GB2312" w:cs="Times New Roman"/>
          <w:b w:val="0"/>
          <w:bCs w:val="0"/>
          <w:kern w:val="2"/>
          <w:sz w:val="32"/>
          <w:szCs w:val="32"/>
          <w:lang w:val="en-US" w:eastAsia="zh-CN" w:bidi="ar-SA"/>
        </w:rPr>
        <w:t>（二）存在的问题及原因分析</w:t>
      </w:r>
      <w:bookmarkEnd w:id="18"/>
      <w:r>
        <w:rPr>
          <w:rFonts w:hint="eastAsia" w:ascii="Times New Roman" w:hAnsi="Times New Roman" w:eastAsia="仿宋_GB2312" w:cs="Times New Roman"/>
          <w:b w:val="0"/>
          <w:bCs w:val="0"/>
          <w:kern w:val="2"/>
          <w:sz w:val="32"/>
          <w:szCs w:val="32"/>
          <w:lang w:val="en-US" w:eastAsia="zh-CN" w:bidi="ar-SA"/>
        </w:rPr>
        <w:t>。在编制绩效项目过程中，预算编制工作亦待细化，合理性需要更进一步提高，目标更进一步明确，执行力度进一步加强。</w:t>
      </w:r>
    </w:p>
    <w:p>
      <w:pPr>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宋体" w:hAnsi="宋体" w:eastAsia="宋体" w:cs="宋体"/>
          <w:b/>
          <w:bCs/>
          <w:kern w:val="2"/>
          <w:sz w:val="32"/>
          <w:szCs w:val="32"/>
          <w:lang w:val="en-US" w:eastAsia="zh-CN" w:bidi="ar-SA"/>
        </w:rPr>
      </w:pPr>
      <w:bookmarkStart w:id="19" w:name="_Toc68703845"/>
      <w:r>
        <w:rPr>
          <w:rFonts w:hint="eastAsia" w:ascii="宋体" w:hAnsi="宋体" w:eastAsia="宋体" w:cs="宋体"/>
          <w:b/>
          <w:bCs/>
          <w:kern w:val="2"/>
          <w:sz w:val="32"/>
          <w:szCs w:val="32"/>
          <w:lang w:val="en-US" w:eastAsia="zh-CN" w:bidi="ar-SA"/>
        </w:rPr>
        <w:t>六、有关意见建议</w:t>
      </w:r>
      <w:bookmarkEnd w:id="19"/>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 xml:space="preserve">1.在项目实施前召开项目决策会议，利用集体决策的意见确定是否实施该项目，做到项目支出费用预测精准，能保证支持完成该项目内容，留足项目发行资料审核的时间。 </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提高单位工作人员对预算执行的重视程度，对单位预算管理人员进行专业知识的培训，加深其对预算工作的重要性了解、加强预算执行工作的约束，细化预算工作，根据项目实际情况，对预算工作进行详细的划分，加强各个岗位员工的责任感，提高预算执行率， 加快资金的合理安排，避免资金用途被随意改变。</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 xml:space="preserve">3.加强资金使用部门对预算绩效评价工作的认识和重视程度，做好项目实施管理和资金使用的匹配，根据项目实施计划，制定科学合理的资金计划，不断提高资金使用效率，确保资金专款专用。 </w:t>
      </w:r>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 xml:space="preserve">4.根据项目实际情况，从项目实施数量、质量、时效、成本，社会效益、满意度设置绩效目标，确保从各个方面保障项目的可实现性，科学合理的完成项目，建立全面规范透明、标准科学、约束有力的预算制度。 </w:t>
      </w:r>
    </w:p>
    <w:p>
      <w:pPr>
        <w:pStyle w:val="3"/>
        <w:pageBreakBefore w:val="0"/>
        <w:widowControl w:val="0"/>
        <w:kinsoku/>
        <w:wordWrap/>
        <w:overflowPunct/>
        <w:topLinePunct w:val="0"/>
        <w:autoSpaceDE/>
        <w:autoSpaceDN/>
        <w:bidi w:val="0"/>
        <w:adjustRightInd/>
        <w:snapToGrid/>
        <w:spacing w:before="0" w:after="0" w:line="520" w:lineRule="exact"/>
        <w:ind w:firstLine="643" w:firstLineChars="200"/>
        <w:textAlignment w:val="auto"/>
        <w:rPr>
          <w:rFonts w:hint="eastAsia" w:ascii="宋体" w:hAnsi="宋体" w:eastAsia="宋体" w:cs="宋体"/>
          <w:b/>
          <w:bCs/>
          <w:kern w:val="2"/>
          <w:sz w:val="32"/>
          <w:szCs w:val="32"/>
          <w:lang w:val="en-US" w:eastAsia="zh-CN" w:bidi="ar-SA"/>
        </w:rPr>
      </w:pPr>
      <w:bookmarkStart w:id="20" w:name="_Toc68703846"/>
      <w:r>
        <w:rPr>
          <w:rFonts w:hint="eastAsia" w:ascii="宋体" w:hAnsi="宋体" w:eastAsia="宋体" w:cs="宋体"/>
          <w:b/>
          <w:bCs/>
          <w:kern w:val="2"/>
          <w:sz w:val="32"/>
          <w:szCs w:val="32"/>
          <w:lang w:val="en-US" w:eastAsia="zh-CN" w:bidi="ar-SA"/>
        </w:rPr>
        <w:t>七、其他需要说明的问题</w:t>
      </w:r>
      <w:bookmarkEnd w:id="20"/>
    </w:p>
    <w:p>
      <w:pPr>
        <w:pStyle w:val="3"/>
        <w:pageBreakBefore w:val="0"/>
        <w:widowControl w:val="0"/>
        <w:kinsoku/>
        <w:wordWrap/>
        <w:overflowPunct/>
        <w:topLinePunct w:val="0"/>
        <w:autoSpaceDE/>
        <w:autoSpaceDN/>
        <w:bidi w:val="0"/>
        <w:adjustRightInd/>
        <w:snapToGrid/>
        <w:spacing w:before="0" w:after="0" w:line="520" w:lineRule="exact"/>
        <w:ind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无</w:t>
      </w:r>
    </w:p>
    <w:p>
      <w:pPr>
        <w:pageBreakBefore w:val="0"/>
        <w:widowControl w:val="0"/>
        <w:kinsoku/>
        <w:wordWrap/>
        <w:overflowPunct/>
        <w:topLinePunct w:val="0"/>
        <w:autoSpaceDE/>
        <w:autoSpaceDN/>
        <w:bidi w:val="0"/>
        <w:adjustRightInd/>
        <w:snapToGrid/>
        <w:spacing w:line="520" w:lineRule="exact"/>
        <w:textAlignment w:val="auto"/>
        <w:rPr>
          <w:sz w:val="32"/>
          <w:szCs w:val="32"/>
        </w:rPr>
      </w:pPr>
    </w:p>
    <w:p>
      <w:pPr>
        <w:pageBreakBefore w:val="0"/>
        <w:widowControl w:val="0"/>
        <w:kinsoku/>
        <w:wordWrap/>
        <w:overflowPunct/>
        <w:topLinePunct w:val="0"/>
        <w:autoSpaceDE/>
        <w:autoSpaceDN/>
        <w:bidi w:val="0"/>
        <w:adjustRightInd/>
        <w:snapToGrid/>
        <w:spacing w:line="520" w:lineRule="exact"/>
        <w:textAlignment w:val="auto"/>
        <w:rPr>
          <w:sz w:val="32"/>
          <w:szCs w:val="32"/>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FA2C04"/>
    <w:multiLevelType w:val="singleLevel"/>
    <w:tmpl w:val="A8FA2C04"/>
    <w:lvl w:ilvl="0" w:tentative="0">
      <w:start w:val="2"/>
      <w:numFmt w:val="decimal"/>
      <w:lvlText w:val="%1."/>
      <w:lvlJc w:val="left"/>
      <w:pPr>
        <w:tabs>
          <w:tab w:val="left" w:pos="312"/>
        </w:tabs>
      </w:pPr>
    </w:lvl>
  </w:abstractNum>
  <w:abstractNum w:abstractNumId="1">
    <w:nsid w:val="634E02D2"/>
    <w:multiLevelType w:val="singleLevel"/>
    <w:tmpl w:val="634E02D2"/>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5B64E8"/>
    <w:rsid w:val="00614288"/>
    <w:rsid w:val="00792CFE"/>
    <w:rsid w:val="007D49C5"/>
    <w:rsid w:val="008175E0"/>
    <w:rsid w:val="008C631D"/>
    <w:rsid w:val="00A114ED"/>
    <w:rsid w:val="00B24331"/>
    <w:rsid w:val="00D4272F"/>
    <w:rsid w:val="052A793B"/>
    <w:rsid w:val="05B34BFD"/>
    <w:rsid w:val="0EFD4BCA"/>
    <w:rsid w:val="0F2A6BF7"/>
    <w:rsid w:val="0F9C4D72"/>
    <w:rsid w:val="115A6AC7"/>
    <w:rsid w:val="18D61B49"/>
    <w:rsid w:val="1A2B5E6D"/>
    <w:rsid w:val="22EC06C2"/>
    <w:rsid w:val="249247CB"/>
    <w:rsid w:val="25702096"/>
    <w:rsid w:val="2A9B7A72"/>
    <w:rsid w:val="2ED973C6"/>
    <w:rsid w:val="2FB0642A"/>
    <w:rsid w:val="31565727"/>
    <w:rsid w:val="35876C0D"/>
    <w:rsid w:val="36B72533"/>
    <w:rsid w:val="38AF0099"/>
    <w:rsid w:val="38BE5827"/>
    <w:rsid w:val="39AA00AC"/>
    <w:rsid w:val="3D5340BC"/>
    <w:rsid w:val="4057649F"/>
    <w:rsid w:val="42D81E40"/>
    <w:rsid w:val="42F44179"/>
    <w:rsid w:val="452C564B"/>
    <w:rsid w:val="498F1E33"/>
    <w:rsid w:val="4DAE4355"/>
    <w:rsid w:val="4DF017A6"/>
    <w:rsid w:val="4F820EA1"/>
    <w:rsid w:val="514E4139"/>
    <w:rsid w:val="550F64EE"/>
    <w:rsid w:val="56796849"/>
    <w:rsid w:val="572D0AE5"/>
    <w:rsid w:val="5DA95371"/>
    <w:rsid w:val="5F076AA0"/>
    <w:rsid w:val="605171E2"/>
    <w:rsid w:val="60CE66F0"/>
    <w:rsid w:val="61967322"/>
    <w:rsid w:val="63495A10"/>
    <w:rsid w:val="638D36AE"/>
    <w:rsid w:val="68523281"/>
    <w:rsid w:val="69764706"/>
    <w:rsid w:val="69E335B4"/>
    <w:rsid w:val="6A5F4FFB"/>
    <w:rsid w:val="6C0D0677"/>
    <w:rsid w:val="6C211AE5"/>
    <w:rsid w:val="6FC356E6"/>
    <w:rsid w:val="71AE43D7"/>
    <w:rsid w:val="74D77589"/>
    <w:rsid w:val="7AB951F3"/>
    <w:rsid w:val="7B38059E"/>
    <w:rsid w:val="7D077C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标题 1 Char"/>
    <w:basedOn w:val="9"/>
    <w:link w:val="3"/>
    <w:qFormat/>
    <w:uiPriority w:val="9"/>
    <w:rPr>
      <w:rFonts w:ascii="Times New Roman" w:hAnsi="Times New Roman" w:eastAsia="仿宋_GB2312" w:cs="Times New Roman"/>
      <w:b/>
      <w:bCs/>
      <w:kern w:val="44"/>
      <w:sz w:val="44"/>
      <w:szCs w:val="44"/>
    </w:rPr>
  </w:style>
  <w:style w:type="character" w:customStyle="1" w:styleId="12">
    <w:name w:val="标题 2 Char"/>
    <w:basedOn w:val="9"/>
    <w:link w:val="2"/>
    <w:qFormat/>
    <w:uiPriority w:val="9"/>
    <w:rPr>
      <w:rFonts w:asciiTheme="majorHAnsi" w:hAnsiTheme="majorHAnsi" w:eastAsiaTheme="majorEastAsia" w:cstheme="majorBidi"/>
      <w:b/>
      <w:bCs/>
      <w:sz w:val="32"/>
      <w:szCs w:val="32"/>
    </w:rPr>
  </w:style>
  <w:style w:type="paragraph" w:customStyle="1" w:styleId="13">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
    <w:name w:val="页眉 Char"/>
    <w:basedOn w:val="9"/>
    <w:link w:val="5"/>
    <w:semiHidden/>
    <w:qFormat/>
    <w:uiPriority w:val="99"/>
    <w:rPr>
      <w:rFonts w:ascii="Times New Roman" w:hAnsi="Times New Roman" w:eastAsia="仿宋_GB2312" w:cs="Times New Roman"/>
      <w:sz w:val="18"/>
      <w:szCs w:val="18"/>
    </w:rPr>
  </w:style>
  <w:style w:type="character" w:customStyle="1" w:styleId="15">
    <w:name w:val="页脚 Char"/>
    <w:basedOn w:val="9"/>
    <w:link w:val="4"/>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18</TotalTime>
  <ScaleCrop>false</ScaleCrop>
  <LinksUpToDate>false</LinksUpToDate>
  <CharactersWithSpaces>5253</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2024-06-12T10:12:53Z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8FAE0C74A0894AD780FD54BE892AC89F</vt:lpwstr>
  </property>
</Properties>
</file>