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2</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lang w:val="en-US" w:eastAsia="zh-CN"/>
        </w:rPr>
        <w:t>外宣专项业务费</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lang w:val="en-US" w:eastAsia="zh-CN"/>
        </w:rPr>
        <w:t>霍城县委宣传部</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霍城县委员会</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宋体"/>
          <w:kern w:val="0"/>
          <w:sz w:val="32"/>
          <w:szCs w:val="32"/>
          <w:lang w:val="en-US" w:eastAsia="zh-CN"/>
        </w:rPr>
        <w:t>常磊</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2"/>
        <w:spacing w:line="360" w:lineRule="auto"/>
        <w:rPr>
          <w:rFonts w:ascii="仿宋_GB2312" w:eastAsia="仿宋_GB2312"/>
          <w:b w:val="0"/>
          <w:bCs w:val="0"/>
          <w:color w:val="auto"/>
        </w:rPr>
      </w:pPr>
      <w:bookmarkStart w:id="1" w:name="_Toc68703828"/>
      <w:r>
        <w:rPr>
          <w:rFonts w:hint="eastAsia" w:ascii="仿宋_GB2312" w:eastAsia="仿宋_GB2312"/>
          <w:b w:val="0"/>
          <w:bCs w:val="0"/>
        </w:rPr>
        <w:t>（</w:t>
      </w:r>
      <w:r>
        <w:rPr>
          <w:rFonts w:hint="eastAsia" w:ascii="仿宋_GB2312" w:eastAsia="仿宋_GB2312"/>
          <w:b w:val="0"/>
          <w:bCs w:val="0"/>
          <w:color w:val="auto"/>
        </w:rPr>
        <w:t>一）项目概况。</w:t>
      </w:r>
      <w:bookmarkEnd w:id="1"/>
    </w:p>
    <w:p>
      <w:pPr>
        <w:numPr>
          <w:ilvl w:val="0"/>
          <w:numId w:val="1"/>
        </w:numPr>
        <w:spacing w:line="360" w:lineRule="auto"/>
        <w:ind w:firstLine="600" w:firstLineChars="200"/>
        <w:rPr>
          <w:color w:val="auto"/>
        </w:rPr>
      </w:pPr>
      <w:r>
        <w:rPr>
          <w:rFonts w:hint="eastAsia" w:ascii="仿宋_GB2312"/>
          <w:color w:val="auto"/>
        </w:rPr>
        <w:t>项目背景</w:t>
      </w:r>
    </w:p>
    <w:p>
      <w:pPr>
        <w:pStyle w:val="4"/>
        <w:pageBreakBefore w:val="0"/>
        <w:widowControl w:val="0"/>
        <w:numPr>
          <w:ilvl w:val="0"/>
          <w:numId w:val="0"/>
        </w:numPr>
        <w:kinsoku/>
        <w:wordWrap/>
        <w:overflowPunct/>
        <w:topLinePunct w:val="0"/>
        <w:autoSpaceDE/>
        <w:autoSpaceDN/>
        <w:bidi w:val="0"/>
        <w:adjustRightInd/>
        <w:snapToGrid/>
        <w:spacing w:after="0" w:line="540" w:lineRule="exact"/>
        <w:ind w:firstLine="640" w:firstLineChars="200"/>
        <w:jc w:val="both"/>
        <w:textAlignment w:val="auto"/>
        <w:rPr>
          <w:color w:val="auto"/>
        </w:rPr>
      </w:pPr>
      <w:r>
        <w:rPr>
          <w:rFonts w:hint="eastAsia" w:ascii="仿宋_GB2312" w:eastAsia="仿宋_GB2312" w:hAnsiTheme="majorHAnsi" w:cstheme="majorBidi"/>
          <w:b w:val="0"/>
          <w:bCs w:val="0"/>
          <w:color w:val="auto"/>
          <w:kern w:val="2"/>
          <w:sz w:val="32"/>
          <w:szCs w:val="32"/>
          <w:lang w:val="en-US" w:eastAsia="zh-CN" w:bidi="ar-SA"/>
        </w:rPr>
        <w:t>霍城县委宣传部围绕县委中心工作，把握正确舆论导向，加强对外宣传报道，传播好党委政府的声音；聚焦重点、关注热点、打造亮点，提升宣传报道和舆论引导能力，推出一批高质量、高水平的新闻报道，牢牢把握宣传工作主动权；为推动传统媒体和新兴媒体融合发展，常态化开展意识形态领域宣传引领工作，强化县委理论中心组学习，创新对外宣传工作。</w:t>
      </w:r>
    </w:p>
    <w:p>
      <w:pPr>
        <w:spacing w:line="360" w:lineRule="auto"/>
        <w:ind w:firstLine="600" w:firstLineChars="200"/>
        <w:rPr>
          <w:rFonts w:ascii="仿宋_GB2312"/>
          <w:color w:val="auto"/>
        </w:rPr>
      </w:pPr>
      <w:r>
        <w:rPr>
          <w:rFonts w:hint="eastAsia" w:ascii="仿宋_GB2312"/>
          <w:color w:val="auto"/>
        </w:rPr>
        <w:t>2、主要内容</w:t>
      </w:r>
      <w:r>
        <w:rPr>
          <w:rFonts w:hint="eastAsia"/>
          <w:color w:val="auto"/>
        </w:rPr>
        <w:t>及</w:t>
      </w:r>
      <w:r>
        <w:rPr>
          <w:rFonts w:hint="eastAsia" w:ascii="仿宋_GB2312"/>
          <w:color w:val="auto"/>
        </w:rPr>
        <w:t>实施情况</w:t>
      </w:r>
    </w:p>
    <w:p>
      <w:pPr>
        <w:pageBreakBefore w:val="0"/>
        <w:kinsoku/>
        <w:wordWrap/>
        <w:overflowPunct/>
        <w:topLinePunct w:val="0"/>
        <w:autoSpaceDE/>
        <w:autoSpaceDN/>
        <w:bidi w:val="0"/>
        <w:adjustRightInd/>
        <w:snapToGrid/>
        <w:spacing w:line="540" w:lineRule="exact"/>
        <w:ind w:firstLine="600" w:firstLineChars="200"/>
        <w:textAlignment w:val="auto"/>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color w:val="auto"/>
        </w:rPr>
        <w:t>主要内容：</w:t>
      </w:r>
      <w:r>
        <w:rPr>
          <w:rFonts w:hint="eastAsia" w:ascii="仿宋_GB2312" w:hAnsiTheme="majorHAnsi" w:cstheme="majorBidi"/>
          <w:b w:val="0"/>
          <w:bCs w:val="0"/>
          <w:color w:val="auto"/>
          <w:kern w:val="2"/>
          <w:sz w:val="32"/>
          <w:szCs w:val="32"/>
          <w:lang w:val="en-US" w:eastAsia="zh-CN" w:bidi="ar-SA"/>
        </w:rPr>
        <w:t>通过</w:t>
      </w:r>
      <w:r>
        <w:rPr>
          <w:rFonts w:hint="eastAsia" w:ascii="仿宋_GB2312" w:eastAsia="仿宋_GB2312" w:hAnsiTheme="majorHAnsi" w:cstheme="majorBidi"/>
          <w:b w:val="0"/>
          <w:bCs w:val="0"/>
          <w:color w:val="auto"/>
          <w:kern w:val="2"/>
          <w:sz w:val="32"/>
          <w:szCs w:val="32"/>
          <w:lang w:val="en-US" w:eastAsia="zh-CN" w:bidi="ar-SA"/>
        </w:rPr>
        <w:t>举办宣讲活动</w:t>
      </w:r>
      <w:r>
        <w:rPr>
          <w:rFonts w:hint="eastAsia" w:ascii="仿宋_GB2312" w:hAnsiTheme="majorHAnsi" w:cstheme="majorBidi"/>
          <w:b w:val="0"/>
          <w:bCs w:val="0"/>
          <w:color w:val="auto"/>
          <w:kern w:val="2"/>
          <w:sz w:val="32"/>
          <w:szCs w:val="32"/>
          <w:lang w:val="en-US" w:eastAsia="zh-CN" w:bidi="ar-SA"/>
        </w:rPr>
        <w:t>4</w:t>
      </w:r>
      <w:r>
        <w:rPr>
          <w:rFonts w:hint="eastAsia" w:ascii="仿宋_GB2312" w:eastAsia="仿宋_GB2312" w:hAnsiTheme="majorHAnsi" w:cstheme="majorBidi"/>
          <w:b w:val="0"/>
          <w:bCs w:val="0"/>
          <w:color w:val="auto"/>
          <w:kern w:val="2"/>
          <w:sz w:val="32"/>
          <w:szCs w:val="32"/>
          <w:lang w:val="en-US" w:eastAsia="zh-CN" w:bidi="ar-SA"/>
        </w:rPr>
        <w:t>次，发布外宣稿件300条，</w:t>
      </w:r>
      <w:r>
        <w:rPr>
          <w:rFonts w:hint="eastAsia" w:ascii="仿宋_GB2312" w:hAnsiTheme="majorHAnsi" w:cstheme="majorBidi"/>
          <w:b w:val="0"/>
          <w:bCs w:val="0"/>
          <w:color w:val="auto"/>
          <w:kern w:val="2"/>
          <w:sz w:val="32"/>
          <w:szCs w:val="32"/>
          <w:lang w:val="en-US" w:eastAsia="zh-CN" w:bidi="ar-SA"/>
        </w:rPr>
        <w:t xml:space="preserve"> 编印宣传材料1份等方式宣传党的方针政策、加强正确舆论引导，营造良好氛围，提升精神文明程度</w:t>
      </w:r>
      <w:r>
        <w:rPr>
          <w:rFonts w:hint="eastAsia" w:ascii="仿宋_GB2312" w:eastAsia="仿宋_GB2312" w:hAnsiTheme="majorHAnsi" w:cstheme="majorBidi"/>
          <w:b w:val="0"/>
          <w:bCs w:val="0"/>
          <w:color w:val="auto"/>
          <w:kern w:val="2"/>
          <w:sz w:val="32"/>
          <w:szCs w:val="32"/>
          <w:lang w:val="en-US" w:eastAsia="zh-CN" w:bidi="ar-SA"/>
        </w:rPr>
        <w:t>。</w:t>
      </w:r>
    </w:p>
    <w:p>
      <w:pPr>
        <w:pageBreakBefore w:val="0"/>
        <w:kinsoku/>
        <w:wordWrap/>
        <w:overflowPunct/>
        <w:topLinePunct w:val="0"/>
        <w:autoSpaceDE/>
        <w:autoSpaceDN/>
        <w:bidi w:val="0"/>
        <w:adjustRightInd/>
        <w:snapToGrid/>
        <w:spacing w:line="540" w:lineRule="exact"/>
        <w:ind w:firstLine="600" w:firstLineChars="200"/>
        <w:textAlignment w:val="auto"/>
        <w:rPr>
          <w:rFonts w:hint="eastAsia" w:ascii="仿宋_GB2312" w:eastAsia="仿宋_GB2312" w:hAnsiTheme="majorHAnsi" w:cstheme="majorBidi"/>
          <w:b w:val="0"/>
          <w:bCs w:val="0"/>
          <w:color w:val="auto"/>
          <w:kern w:val="2"/>
          <w:sz w:val="32"/>
          <w:szCs w:val="32"/>
          <w:lang w:val="en-US" w:eastAsia="zh-CN" w:bidi="ar-SA"/>
        </w:rPr>
      </w:pPr>
      <w:r>
        <w:rPr>
          <w:rFonts w:hint="eastAsia" w:ascii="仿宋_GB2312"/>
          <w:color w:val="auto"/>
        </w:rPr>
        <w:t>实施情况：</w:t>
      </w:r>
      <w:r>
        <w:rPr>
          <w:rFonts w:hint="eastAsia" w:ascii="仿宋_GB2312" w:eastAsia="仿宋_GB2312" w:hAnsiTheme="majorHAnsi" w:cstheme="majorBidi"/>
          <w:b w:val="0"/>
          <w:bCs w:val="0"/>
          <w:color w:val="auto"/>
          <w:kern w:val="2"/>
          <w:sz w:val="32"/>
          <w:szCs w:val="32"/>
          <w:lang w:val="en-US" w:eastAsia="zh-CN" w:bidi="ar-SA"/>
        </w:rPr>
        <w:t>文化队伍建设工作。为提高宣传文化队伍能力，全年共举办宣传委员及干事业务培训班3次，举办宣传活动4次。</w:t>
      </w:r>
    </w:p>
    <w:p>
      <w:pPr>
        <w:pageBreakBefore w:val="0"/>
        <w:kinsoku/>
        <w:wordWrap/>
        <w:overflowPunct/>
        <w:topLinePunct w:val="0"/>
        <w:autoSpaceDE/>
        <w:autoSpaceDN/>
        <w:bidi w:val="0"/>
        <w:adjustRightInd/>
        <w:snapToGrid/>
        <w:spacing w:line="540" w:lineRule="exact"/>
        <w:ind w:firstLine="640" w:firstLineChars="200"/>
        <w:textAlignment w:val="auto"/>
        <w:rPr>
          <w:color w:val="auto"/>
          <w:sz w:val="32"/>
          <w:szCs w:val="32"/>
          <w:highlight w:val="yellow"/>
        </w:rPr>
      </w:pPr>
      <w:r>
        <w:rPr>
          <w:rFonts w:hint="eastAsia" w:ascii="仿宋_GB2312" w:eastAsia="仿宋_GB2312" w:hAnsiTheme="majorHAnsi" w:cstheme="majorBidi"/>
          <w:b w:val="0"/>
          <w:bCs w:val="0"/>
          <w:color w:val="auto"/>
          <w:kern w:val="2"/>
          <w:sz w:val="32"/>
          <w:szCs w:val="32"/>
          <w:lang w:val="en-US" w:eastAsia="zh-CN" w:bidi="ar-SA"/>
        </w:rPr>
        <w:t>意识形态领域工作。为进一步提升社会精神文明程度，巩固增强意识形态领域影响力，全年共编印宣传材料1份，在县域内制作横幅2次。</w:t>
      </w:r>
    </w:p>
    <w:p>
      <w:pPr>
        <w:pageBreakBefore w:val="0"/>
        <w:kinsoku/>
        <w:wordWrap/>
        <w:overflowPunct/>
        <w:topLinePunct w:val="0"/>
        <w:autoSpaceDE/>
        <w:autoSpaceDN/>
        <w:bidi w:val="0"/>
        <w:adjustRightInd/>
        <w:snapToGrid/>
        <w:spacing w:line="540" w:lineRule="exact"/>
        <w:ind w:firstLine="640" w:firstLineChars="200"/>
        <w:textAlignment w:val="auto"/>
        <w:rPr>
          <w:rFonts w:ascii="仿宋_GB2312"/>
          <w:color w:val="auto"/>
        </w:rPr>
      </w:pPr>
      <w:r>
        <w:rPr>
          <w:rFonts w:hint="eastAsia" w:ascii="仿宋_GB2312" w:eastAsia="仿宋_GB2312" w:hAnsiTheme="majorHAnsi" w:cstheme="majorBidi"/>
          <w:b w:val="0"/>
          <w:bCs w:val="0"/>
          <w:color w:val="auto"/>
          <w:kern w:val="2"/>
          <w:sz w:val="32"/>
          <w:szCs w:val="32"/>
          <w:lang w:val="en-US" w:eastAsia="zh-CN" w:bidi="ar-SA"/>
        </w:rPr>
        <w:t>对上宣传报道工作。与中央和自治区级媒体沟通对接，积极向中央和自治区级媒体推送新闻线索，共发布外宣稿件</w:t>
      </w:r>
      <w:r>
        <w:rPr>
          <w:rFonts w:hint="eastAsia" w:ascii="仿宋_GB2312" w:hAnsiTheme="majorHAnsi" w:cstheme="majorBidi"/>
          <w:b w:val="0"/>
          <w:bCs w:val="0"/>
          <w:color w:val="auto"/>
          <w:kern w:val="2"/>
          <w:sz w:val="32"/>
          <w:szCs w:val="32"/>
          <w:lang w:val="en-US" w:eastAsia="zh-CN" w:bidi="ar-SA"/>
        </w:rPr>
        <w:t>300</w:t>
      </w:r>
      <w:r>
        <w:rPr>
          <w:rFonts w:hint="eastAsia" w:ascii="仿宋_GB2312" w:eastAsia="仿宋_GB2312" w:hAnsiTheme="majorHAnsi" w:cstheme="majorBidi"/>
          <w:b w:val="0"/>
          <w:bCs w:val="0"/>
          <w:color w:val="auto"/>
          <w:kern w:val="2"/>
          <w:sz w:val="32"/>
          <w:szCs w:val="32"/>
          <w:lang w:val="en-US" w:eastAsia="zh-CN" w:bidi="ar-SA"/>
        </w:rPr>
        <w:t>条。</w:t>
      </w:r>
    </w:p>
    <w:p>
      <w:pPr>
        <w:spacing w:line="360" w:lineRule="auto"/>
        <w:ind w:firstLine="600" w:firstLineChars="200"/>
        <w:rPr>
          <w:rFonts w:ascii="仿宋_GB2312"/>
          <w:color w:val="auto"/>
        </w:rPr>
      </w:pPr>
      <w:r>
        <w:rPr>
          <w:rFonts w:ascii="仿宋_GB2312"/>
          <w:color w:val="auto"/>
        </w:rPr>
        <w:t>3</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40</w:t>
      </w:r>
      <w:r>
        <w:rPr>
          <w:rFonts w:hint="eastAsia"/>
          <w:color w:val="auto"/>
        </w:rPr>
        <w:t>万元，全年预算数</w:t>
      </w:r>
      <w:r>
        <w:rPr>
          <w:rFonts w:hint="eastAsia"/>
          <w:color w:val="auto"/>
          <w:lang w:val="en-US" w:eastAsia="zh-CN"/>
        </w:rPr>
        <w:t>40</w:t>
      </w:r>
      <w:r>
        <w:rPr>
          <w:rFonts w:hint="eastAsia"/>
          <w:color w:val="auto"/>
        </w:rPr>
        <w:t>万元，实际总投入</w:t>
      </w:r>
      <w:r>
        <w:rPr>
          <w:rFonts w:hint="eastAsia"/>
          <w:color w:val="auto"/>
          <w:lang w:val="en-US" w:eastAsia="zh-CN"/>
        </w:rPr>
        <w:t>40</w:t>
      </w:r>
      <w:r>
        <w:rPr>
          <w:rFonts w:hint="eastAsia"/>
          <w:color w:val="auto"/>
        </w:rPr>
        <w:t>万元，该项目资金已全部落实到位，资金来源为</w:t>
      </w:r>
      <w:r>
        <w:rPr>
          <w:rFonts w:hint="eastAsia"/>
          <w:color w:val="auto"/>
          <w:lang w:eastAsia="zh-CN"/>
        </w:rPr>
        <w:t>年初部门预算</w:t>
      </w:r>
      <w:r>
        <w:rPr>
          <w:color w:val="auto"/>
        </w:rPr>
        <w:t xml:space="preserve"> </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40</w:t>
      </w:r>
      <w:r>
        <w:rPr>
          <w:rFonts w:hint="eastAsia"/>
          <w:color w:val="auto"/>
        </w:rPr>
        <w:t>万元，全年预算数</w:t>
      </w:r>
      <w:r>
        <w:rPr>
          <w:rFonts w:hint="eastAsia"/>
          <w:color w:val="auto"/>
          <w:lang w:val="en-US" w:eastAsia="zh-CN"/>
        </w:rPr>
        <w:t>40</w:t>
      </w:r>
      <w:r>
        <w:rPr>
          <w:rFonts w:hint="eastAsia"/>
          <w:color w:val="auto"/>
        </w:rPr>
        <w:t xml:space="preserve">万元，全年执行数 </w:t>
      </w:r>
      <w:r>
        <w:rPr>
          <w:rFonts w:hint="eastAsia"/>
          <w:color w:val="auto"/>
          <w:lang w:val="en-US" w:eastAsia="zh-CN"/>
        </w:rPr>
        <w:t>40</w:t>
      </w:r>
      <w:r>
        <w:rPr>
          <w:rFonts w:hint="eastAsia"/>
          <w:color w:val="auto"/>
        </w:rPr>
        <w:t>万元，预算执行率为</w:t>
      </w:r>
      <w:r>
        <w:rPr>
          <w:rFonts w:hint="eastAsia"/>
          <w:color w:val="auto"/>
          <w:lang w:val="en-US" w:eastAsia="zh-CN"/>
        </w:rPr>
        <w:t>100.00</w:t>
      </w:r>
      <w:r>
        <w:rPr>
          <w:rFonts w:hint="eastAsia"/>
          <w:color w:val="auto"/>
        </w:rPr>
        <w:t>%，用于：</w:t>
      </w:r>
      <w:r>
        <w:rPr>
          <w:rFonts w:hint="eastAsia"/>
          <w:color w:val="auto"/>
          <w:lang w:eastAsia="zh-CN"/>
        </w:rPr>
        <w:t>举办活动费用</w:t>
      </w:r>
      <w:r>
        <w:rPr>
          <w:rFonts w:hint="eastAsia"/>
          <w:color w:val="auto"/>
          <w:lang w:val="en-US" w:eastAsia="zh-CN"/>
        </w:rPr>
        <w:t>12</w:t>
      </w:r>
      <w:r>
        <w:rPr>
          <w:rFonts w:hint="eastAsia"/>
          <w:color w:val="auto"/>
        </w:rPr>
        <w:t>万元</w:t>
      </w:r>
      <w:r>
        <w:rPr>
          <w:rFonts w:hint="eastAsia"/>
          <w:color w:val="auto"/>
          <w:lang w:eastAsia="zh-CN"/>
        </w:rPr>
        <w:t>、发布外宣费用</w:t>
      </w:r>
      <w:r>
        <w:rPr>
          <w:rFonts w:hint="eastAsia"/>
          <w:color w:val="auto"/>
          <w:lang w:val="en-US" w:eastAsia="zh-CN"/>
        </w:rPr>
        <w:t>5万元、编印宣传材料费用10万元、车辆运行维护费4万元、外宣运转经费9万元</w:t>
      </w:r>
      <w:r>
        <w:rPr>
          <w:rFonts w:hint="eastAsia"/>
          <w:color w:val="auto"/>
        </w:rPr>
        <w:t>。</w:t>
      </w:r>
    </w:p>
    <w:p>
      <w:pPr>
        <w:pStyle w:val="2"/>
        <w:spacing w:line="360" w:lineRule="auto"/>
        <w:ind w:firstLine="640" w:firstLineChars="200"/>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spacing w:line="360" w:lineRule="auto"/>
        <w:ind w:firstLine="600" w:firstLineChars="200"/>
        <w:rPr>
          <w:color w:val="auto"/>
        </w:rPr>
      </w:pPr>
      <w:r>
        <w:rPr>
          <w:rFonts w:hint="eastAsia"/>
          <w:color w:val="auto"/>
        </w:rPr>
        <w:t>1、总体目标：</w:t>
      </w:r>
      <w:r>
        <w:rPr>
          <w:rFonts w:hint="eastAsia" w:ascii="仿宋_GB2312" w:eastAsia="仿宋_GB2312"/>
          <w:b w:val="0"/>
          <w:bCs w:val="0"/>
          <w:color w:val="auto"/>
        </w:rPr>
        <w:t>紧紧围绕党的方针政策，重要会议精神，着力开展理论武装、舆论引导、思想教育、文化建设、文化培育等工作，有效促进经济快速发展，提升社会精神文明程度。</w:t>
      </w:r>
      <w:r>
        <w:rPr>
          <w:rFonts w:hint="eastAsia" w:ascii="仿宋_GB2312" w:eastAsia="仿宋_GB2312"/>
          <w:b w:val="0"/>
          <w:bCs w:val="0"/>
          <w:color w:val="auto"/>
          <w:lang w:val="en-US" w:eastAsia="zh-CN"/>
        </w:rPr>
        <w:t>全年共</w:t>
      </w:r>
      <w:r>
        <w:rPr>
          <w:rFonts w:hint="eastAsia" w:ascii="仿宋_GB2312" w:eastAsia="仿宋_GB2312"/>
          <w:b w:val="0"/>
          <w:bCs w:val="0"/>
          <w:color w:val="auto"/>
        </w:rPr>
        <w:t>举办宣讲活动</w:t>
      </w:r>
      <w:r>
        <w:rPr>
          <w:rFonts w:hint="eastAsia" w:ascii="仿宋_GB2312"/>
          <w:b w:val="0"/>
          <w:bCs w:val="0"/>
          <w:color w:val="auto"/>
          <w:lang w:val="en-US" w:eastAsia="zh-CN"/>
        </w:rPr>
        <w:t>4</w:t>
      </w:r>
      <w:r>
        <w:rPr>
          <w:rFonts w:hint="eastAsia" w:ascii="仿宋_GB2312" w:eastAsia="仿宋_GB2312"/>
          <w:b w:val="0"/>
          <w:bCs w:val="0"/>
          <w:color w:val="auto"/>
        </w:rPr>
        <w:t>次，发布外宣稿件300条，</w:t>
      </w:r>
      <w:r>
        <w:rPr>
          <w:rFonts w:hint="eastAsia" w:ascii="仿宋_GB2312" w:hAnsi="Times New Roman" w:eastAsia="仿宋_GB2312" w:cs="Times New Roman"/>
          <w:b w:val="0"/>
          <w:bCs w:val="0"/>
          <w:color w:val="auto"/>
          <w:lang w:val="en-US" w:eastAsia="zh-CN"/>
        </w:rPr>
        <w:t>编印宣传材料1份</w:t>
      </w:r>
      <w:r>
        <w:rPr>
          <w:rFonts w:hint="eastAsia" w:ascii="仿宋_GB2312" w:hAnsi="Times New Roman" w:eastAsia="仿宋_GB2312" w:cs="Times New Roman"/>
          <w:b w:val="0"/>
          <w:bCs w:val="0"/>
          <w:color w:val="auto"/>
        </w:rPr>
        <w:t>。</w:t>
      </w:r>
    </w:p>
    <w:p>
      <w:pPr>
        <w:pageBreakBefore w:val="0"/>
        <w:kinsoku/>
        <w:wordWrap/>
        <w:overflowPunct/>
        <w:topLinePunct w:val="0"/>
        <w:autoSpaceDE/>
        <w:autoSpaceDN/>
        <w:bidi w:val="0"/>
        <w:adjustRightInd/>
        <w:snapToGrid/>
        <w:spacing w:line="540" w:lineRule="exact"/>
        <w:ind w:firstLine="600" w:firstLineChars="200"/>
        <w:textAlignment w:val="auto"/>
        <w:rPr>
          <w:rFonts w:hint="eastAsia"/>
          <w:color w:val="auto"/>
        </w:rPr>
      </w:pPr>
      <w:r>
        <w:rPr>
          <w:color w:val="auto"/>
        </w:rPr>
        <w:t>2</w:t>
      </w:r>
      <w:r>
        <w:rPr>
          <w:rFonts w:hint="eastAsia"/>
          <w:color w:val="auto"/>
        </w:rPr>
        <w:t>、阶段性目标：</w:t>
      </w:r>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一、举旗帜、强引领，全面准确把握政治方向。坚持“学习始终在线” 、坚持“旁听指导学习”、坚持“宣讲普及创新”、坚持“理论研究出成果”</w:t>
      </w:r>
      <w:r>
        <w:rPr>
          <w:rFonts w:hint="eastAsia" w:cs="Times New Roman"/>
          <w:color w:val="auto"/>
          <w:highlight w:val="none"/>
          <w:lang w:val="en-US" w:eastAsia="zh-CN"/>
        </w:rPr>
        <w:t>，全巡回宣讲4次，编印宣传材料1份</w:t>
      </w:r>
      <w:r>
        <w:rPr>
          <w:rFonts w:hint="default" w:ascii="Times New Roman" w:hAnsi="Times New Roman" w:cs="Times New Roman"/>
          <w:color w:val="auto"/>
          <w:highlight w:val="none"/>
          <w:lang w:val="en-US" w:eastAsia="zh-CN"/>
        </w:rPr>
        <w:t>。</w:t>
      </w:r>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二、拓外宣，抓内宣，生动鲜活讲好霍城故事。外宣立体化塑形象、内宣全方位聚合力、舆论先行力壮声势</w:t>
      </w:r>
      <w:r>
        <w:rPr>
          <w:rFonts w:hint="eastAsia" w:cs="Times New Roman"/>
          <w:color w:val="auto"/>
          <w:highlight w:val="none"/>
          <w:lang w:val="en-US" w:eastAsia="zh-CN"/>
        </w:rPr>
        <w:t>，争取发布稿件300条。</w:t>
      </w:r>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highlight w:val="none"/>
          <w:lang w:val="en-US" w:eastAsia="zh-CN"/>
        </w:rPr>
      </w:pPr>
      <w:r>
        <w:rPr>
          <w:rFonts w:hint="eastAsia" w:cs="Times New Roman"/>
          <w:b w:val="0"/>
          <w:bCs w:val="0"/>
          <w:color w:val="auto"/>
          <w:kern w:val="2"/>
          <w:sz w:val="30"/>
          <w:szCs w:val="24"/>
          <w:highlight w:val="none"/>
          <w:lang w:val="en-US" w:eastAsia="zh-CN" w:bidi="ar-SA"/>
        </w:rPr>
        <w:t>三</w:t>
      </w:r>
      <w:r>
        <w:rPr>
          <w:rFonts w:hint="eastAsia" w:ascii="Times New Roman" w:hAnsi="Times New Roman" w:eastAsia="仿宋_GB2312" w:cs="Times New Roman"/>
          <w:b w:val="0"/>
          <w:bCs w:val="0"/>
          <w:color w:val="auto"/>
          <w:kern w:val="2"/>
          <w:sz w:val="30"/>
          <w:szCs w:val="24"/>
          <w:highlight w:val="none"/>
          <w:lang w:val="en-US" w:eastAsia="zh-CN" w:bidi="ar-SA"/>
        </w:rPr>
        <w:t>、</w:t>
      </w:r>
      <w:r>
        <w:rPr>
          <w:rFonts w:hint="eastAsia" w:ascii="Times New Roman" w:hAnsi="Times New Roman" w:cs="Times New Roman"/>
          <w:color w:val="auto"/>
          <w:highlight w:val="none"/>
          <w:lang w:val="en-US" w:eastAsia="zh-CN"/>
        </w:rPr>
        <w:t>严作风，强四力，建强宣传思想工作队伍。</w:t>
      </w:r>
      <w:r>
        <w:rPr>
          <w:rFonts w:hint="default" w:ascii="Times New Roman" w:hAnsi="Times New Roman" w:cs="Times New Roman"/>
          <w:color w:val="auto"/>
          <w:highlight w:val="none"/>
          <w:lang w:val="en-US" w:eastAsia="zh-CN"/>
        </w:rPr>
        <w:t>加强“四力”培训力度</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调整充实宣传干部队伍</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持续深化作风建设</w:t>
      </w:r>
      <w:r>
        <w:rPr>
          <w:rFonts w:hint="eastAsia" w:cs="Times New Roman"/>
          <w:color w:val="auto"/>
          <w:highlight w:val="none"/>
          <w:lang w:val="en-US" w:eastAsia="zh-CN"/>
        </w:rPr>
        <w:t>，举办培训班1次</w:t>
      </w:r>
      <w:r>
        <w:rPr>
          <w:rFonts w:hint="default" w:ascii="Times New Roman" w:hAnsi="Times New Roman" w:cs="Times New Roman"/>
          <w:color w:val="auto"/>
          <w:highlight w:val="none"/>
          <w:lang w:val="en-US" w:eastAsia="zh-CN"/>
        </w:rPr>
        <w:t>。</w:t>
      </w:r>
      <w:r>
        <w:rPr>
          <w:rFonts w:hint="eastAsia" w:ascii="Times New Roman" w:hAnsi="Times New Roman" w:cs="Times New Roman"/>
          <w:color w:val="auto"/>
          <w:highlight w:val="none"/>
          <w:lang w:val="en-US" w:eastAsia="zh-CN"/>
        </w:rPr>
        <w:t xml:space="preserve">  </w:t>
      </w:r>
    </w:p>
    <w:p>
      <w:pPr>
        <w:pStyle w:val="3"/>
        <w:spacing w:line="360" w:lineRule="auto"/>
        <w:rPr>
          <w:rFonts w:ascii="宋体" w:hAnsi="宋体" w:eastAsia="宋体"/>
          <w:color w:val="auto"/>
          <w:sz w:val="32"/>
          <w:szCs w:val="32"/>
          <w:highlight w:val="none"/>
        </w:rPr>
      </w:pPr>
      <w:bookmarkStart w:id="3" w:name="_Toc68703830"/>
      <w:r>
        <w:rPr>
          <w:rFonts w:hint="eastAsia" w:ascii="宋体" w:hAnsi="宋体" w:eastAsia="宋体"/>
          <w:color w:val="auto"/>
          <w:sz w:val="32"/>
          <w:szCs w:val="32"/>
          <w:highlight w:val="none"/>
        </w:rPr>
        <w:t>二、绩效评价工作开展情况</w:t>
      </w:r>
      <w:bookmarkEnd w:id="3"/>
    </w:p>
    <w:p>
      <w:pPr>
        <w:pStyle w:val="2"/>
        <w:spacing w:line="360" w:lineRule="auto"/>
        <w:rPr>
          <w:rFonts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1、绩效评价目的：</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通过绩效评价，客观地评判项目的管理绩效，了解和掌握</w:t>
      </w:r>
      <w:r>
        <w:rPr>
          <w:rFonts w:hint="eastAsia" w:ascii="Times New Roman" w:hAnsi="Times New Roman" w:cs="Times New Roman"/>
          <w:color w:val="auto"/>
          <w:lang w:eastAsia="zh-CN"/>
        </w:rPr>
        <w:t>外宣专项业务</w:t>
      </w:r>
      <w:r>
        <w:rPr>
          <w:rFonts w:hint="eastAsia" w:ascii="Times New Roman" w:hAnsi="Times New Roman" w:cs="Times New Roman"/>
          <w:color w:val="auto"/>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auto"/>
        </w:rPr>
      </w:pPr>
      <w:r>
        <w:rPr>
          <w:rFonts w:hint="eastAsia"/>
          <w:color w:val="auto"/>
        </w:rPr>
        <w:t>2、绩效评价对象：</w:t>
      </w:r>
    </w:p>
    <w:p>
      <w:pPr>
        <w:spacing w:line="360" w:lineRule="auto"/>
        <w:ind w:firstLine="640" w:firstLineChars="200"/>
        <w:rPr>
          <w:color w:val="auto"/>
        </w:rPr>
      </w:pPr>
      <w:r>
        <w:rPr>
          <w:rFonts w:hint="eastAsia" w:ascii="仿宋_GB2312"/>
          <w:bCs/>
          <w:color w:val="auto"/>
          <w:sz w:val="32"/>
          <w:szCs w:val="32"/>
          <w:lang w:eastAsia="zh-CN"/>
        </w:rPr>
        <w:t>外宣专项业务费</w:t>
      </w:r>
    </w:p>
    <w:p>
      <w:pPr>
        <w:spacing w:line="360" w:lineRule="auto"/>
        <w:ind w:firstLine="600" w:firstLineChars="200"/>
        <w:rPr>
          <w:color w:val="auto"/>
        </w:rPr>
      </w:pPr>
      <w:r>
        <w:rPr>
          <w:rFonts w:hint="eastAsia"/>
          <w:color w:val="auto"/>
        </w:rPr>
        <w:t>3、绩效评价范围：</w:t>
      </w:r>
    </w:p>
    <w:p>
      <w:pPr>
        <w:spacing w:line="360" w:lineRule="auto"/>
        <w:ind w:firstLine="600" w:firstLineChars="200"/>
        <w:rPr>
          <w:rFonts w:hint="eastAsia" w:eastAsia="仿宋_GB2312"/>
          <w:color w:val="auto"/>
          <w:lang w:val="en-US" w:eastAsia="zh-CN"/>
        </w:rPr>
      </w:pPr>
      <w:r>
        <w:rPr>
          <w:rFonts w:hint="eastAsia"/>
          <w:color w:val="auto"/>
        </w:rPr>
        <w:t>本次评价从项目决策（包括绩效目标、决策过程）、项目管理（包括项目资金、项目实施）、项目产出（包括项目产出数量、产出质量、产出时效和产出成本）项目效益四个维度</w:t>
      </w:r>
      <w:r>
        <w:rPr>
          <w:rFonts w:hint="eastAsia" w:ascii="Times New Roman" w:hAnsi="Times New Roman" w:cs="Times New Roman"/>
          <w:color w:val="auto"/>
        </w:rPr>
        <w:t>进行</w:t>
      </w:r>
      <w:r>
        <w:rPr>
          <w:rFonts w:hint="eastAsia" w:ascii="Times New Roman" w:hAnsi="Times New Roman" w:cs="Times New Roman"/>
          <w:color w:val="auto"/>
          <w:lang w:eastAsia="zh-CN"/>
        </w:rPr>
        <w:t>外宣专项业务费</w:t>
      </w:r>
      <w:r>
        <w:rPr>
          <w:rFonts w:hint="eastAsia" w:ascii="Times New Roman" w:hAnsi="Times New Roman" w:cs="Times New Roman"/>
          <w:color w:val="auto"/>
        </w:rPr>
        <w:t>评价，</w:t>
      </w:r>
      <w:r>
        <w:rPr>
          <w:rFonts w:hint="eastAsia"/>
          <w:color w:val="auto"/>
        </w:rPr>
        <w:t>评价核心为专项资金的支出完成情况和效果。</w:t>
      </w:r>
    </w:p>
    <w:p>
      <w:pPr>
        <w:pStyle w:val="2"/>
        <w:spacing w:line="360" w:lineRule="auto"/>
        <w:rPr>
          <w:rFonts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（一）科学公正。本次项目支出绩效评价运用科学合理的方法，按照规范的程序，对项目绩效进行客观、公正的反映。</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（二）统筹兼顾。本次项目支出绩效评价由本单位自主实施，即“谁支出、谁自评”。</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（三）激励约束。本次项目支出绩效评价结果与预算安排、政策调整、改进管理实质性挂钩，体现奖优罚劣和激励相容导向，有效要安排、低效要压减、无效要问责。</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（四）公开透明。本次项目支出绩效评价结果已依法依规公开在</w:t>
      </w:r>
      <w:r>
        <w:rPr>
          <w:rFonts w:hint="eastAsia" w:ascii="Times New Roman" w:hAnsi="Times New Roman" w:cs="Times New Roman"/>
          <w:color w:val="auto"/>
          <w:lang w:val="en-US" w:eastAsia="zh-CN"/>
        </w:rPr>
        <w:t>霍城县人民政府</w:t>
      </w:r>
      <w:r>
        <w:rPr>
          <w:rFonts w:hint="eastAsia" w:ascii="Times New Roman" w:hAnsi="Times New Roman" w:cs="Times New Roman"/>
          <w:color w:val="auto"/>
        </w:rPr>
        <w:t>网站上，并自觉接受社会监督。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2"/>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lang w:eastAsia="zh-CN"/>
        </w:rPr>
        <w:t>外宣专项业务费</w:t>
      </w:r>
      <w:r>
        <w:rPr>
          <w:rFonts w:hint="eastAsia" w:ascii="Times New Roman" w:hAnsi="Times New Roman" w:eastAsia="仿宋_GB2312" w:cs="Times New Roman"/>
          <w:b w:val="0"/>
          <w:bCs w:val="0"/>
          <w:color w:val="auto"/>
          <w:sz w:val="30"/>
          <w:szCs w:val="24"/>
        </w:rPr>
        <w:t>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c>
          <w:tcPr>
            <w:tcW w:w="874" w:type="dxa"/>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c>
          <w:tcPr>
            <w:tcW w:w="874" w:type="dxa"/>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c>
          <w:tcPr>
            <w:tcW w:w="874" w:type="dxa"/>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2</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2</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6</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6</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12</w:t>
            </w:r>
          </w:p>
        </w:tc>
        <w:tc>
          <w:tcPr>
            <w:tcW w:w="874" w:type="dxa"/>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c>
          <w:tcPr>
            <w:tcW w:w="874" w:type="dxa"/>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c>
          <w:tcPr>
            <w:tcW w:w="874" w:type="dxa"/>
            <w:shd w:val="clear" w:color="auto"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14</w:t>
            </w:r>
          </w:p>
        </w:tc>
        <w:tc>
          <w:tcPr>
            <w:tcW w:w="874" w:type="dxa"/>
            <w:shd w:val="clear" w:color="000000" w:fill="FFFFFF"/>
            <w:vAlign w:val="top"/>
          </w:tcPr>
          <w:p>
            <w:pPr>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pStyle w:val="2"/>
        <w:pageBreakBefore w:val="0"/>
        <w:kinsoku/>
        <w:wordWrap/>
        <w:overflowPunct/>
        <w:topLinePunct w:val="0"/>
        <w:autoSpaceDE/>
        <w:autoSpaceDN/>
        <w:bidi w:val="0"/>
        <w:adjustRightInd/>
        <w:snapToGrid/>
        <w:spacing w:line="540" w:lineRule="exact"/>
        <w:ind w:firstLine="640" w:firstLineChars="200"/>
        <w:textAlignment w:val="auto"/>
        <w:rPr>
          <w:color w:val="auto"/>
        </w:rPr>
      </w:pPr>
      <w:r>
        <w:rPr>
          <w:rFonts w:hint="eastAsia" w:ascii="Times New Roman" w:hAnsi="Times New Roman" w:eastAsia="仿宋_GB2312" w:cs="Times New Roman"/>
          <w:b w:val="0"/>
          <w:bCs/>
          <w:color w:val="auto"/>
          <w:kern w:val="2"/>
          <w:sz w:val="32"/>
          <w:szCs w:val="32"/>
          <w:lang w:val="en-US" w:eastAsia="zh-CN" w:bidi="ar-SA"/>
        </w:rPr>
        <w:t>本次项目支出绩效自评采用因素分析法方法，原因是：对外宣传工作具有时效性，需按照总体目标及各项绩效指标完成情况进行对比，确保评价结果客观准确。</w:t>
      </w:r>
    </w:p>
    <w:p>
      <w:pPr>
        <w:spacing w:line="360" w:lineRule="auto"/>
        <w:rPr>
          <w:color w:val="auto"/>
        </w:rPr>
      </w:pPr>
      <w:r>
        <w:rPr>
          <w:rFonts w:hint="eastAsia"/>
          <w:color w:val="auto"/>
        </w:rPr>
        <w:t>4、评价标准</w:t>
      </w:r>
    </w:p>
    <w:p>
      <w:pPr>
        <w:pStyle w:val="2"/>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b w:val="0"/>
          <w:bCs/>
          <w:color w:val="auto"/>
          <w:kern w:val="2"/>
          <w:sz w:val="32"/>
          <w:szCs w:val="32"/>
          <w:lang w:val="en-US" w:eastAsia="zh-CN" w:bidi="ar-SA"/>
        </w:rPr>
      </w:pPr>
      <w:r>
        <w:rPr>
          <w:rFonts w:hint="eastAsia" w:ascii="Times New Roman" w:hAnsi="Times New Roman" w:eastAsia="仿宋_GB2312" w:cs="Times New Roman"/>
          <w:b w:val="0"/>
          <w:bCs/>
          <w:color w:val="auto"/>
          <w:kern w:val="2"/>
          <w:sz w:val="32"/>
          <w:szCs w:val="32"/>
          <w:lang w:val="en-US" w:eastAsia="zh-CN" w:bidi="ar-SA"/>
        </w:rPr>
        <w:t>本次项目支出绩效自评采用计划标准，原因是：对外宣传工作具有时效性，需按照总体目标及各项绩效指标完成情况进行对比，确保评价结果客观准确。</w:t>
      </w:r>
      <w:bookmarkStart w:id="6" w:name="_Toc68703833"/>
    </w:p>
    <w:p>
      <w:pPr>
        <w:pStyle w:val="2"/>
        <w:pageBreakBefore w:val="0"/>
        <w:kinsoku/>
        <w:wordWrap/>
        <w:overflowPunct/>
        <w:topLinePunct w:val="0"/>
        <w:autoSpaceDE/>
        <w:autoSpaceDN/>
        <w:bidi w:val="0"/>
        <w:adjustRightInd/>
        <w:snapToGrid/>
        <w:spacing w:line="540" w:lineRule="exact"/>
        <w:ind w:firstLine="640" w:firstLineChars="200"/>
        <w:textAlignment w:val="auto"/>
        <w:rPr>
          <w:rFonts w:ascii="仿宋_GB2312" w:eastAsia="仿宋_GB2312"/>
          <w:b w:val="0"/>
          <w:bCs w:val="0"/>
          <w:color w:val="auto"/>
        </w:rPr>
      </w:pPr>
      <w:r>
        <w:rPr>
          <w:rFonts w:hint="eastAsia" w:ascii="仿宋_GB2312" w:eastAsia="仿宋_GB2312"/>
          <w:b w:val="0"/>
          <w:bCs w:val="0"/>
          <w:color w:val="auto"/>
        </w:rPr>
        <w:t>（三）绩效评价工作过程。</w:t>
      </w:r>
      <w:bookmarkEnd w:id="6"/>
    </w:p>
    <w:p>
      <w:pPr>
        <w:spacing w:line="360" w:lineRule="auto"/>
        <w:rPr>
          <w:color w:val="auto"/>
        </w:rPr>
      </w:pPr>
      <w:r>
        <w:rPr>
          <w:rFonts w:hint="eastAsia"/>
          <w:color w:val="auto"/>
        </w:rPr>
        <w:t>1、前期准备：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color w:val="auto"/>
        </w:rPr>
        <w:t xml:space="preserve"> </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11</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2"/>
        <w:spacing w:line="360" w:lineRule="auto"/>
        <w:rPr>
          <w:rFonts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color w:val="auto"/>
        </w:rPr>
      </w:pPr>
      <w:r>
        <w:rPr>
          <w:rFonts w:hint="eastAsia"/>
          <w:color w:val="auto"/>
        </w:rPr>
        <w:t>本项目严格</w:t>
      </w:r>
      <w:r>
        <w:rPr>
          <w:rFonts w:hint="eastAsia" w:ascii="Times New Roman" w:hAnsi="Times New Roman" w:cs="Times New Roman"/>
          <w:color w:val="auto"/>
        </w:rPr>
        <w:t>按照科学公正、统筹兼顾、激励约束、公开透明的绩效评价原则，采用</w:t>
      </w:r>
      <w:r>
        <w:rPr>
          <w:rFonts w:hint="eastAsia" w:ascii="Times New Roman" w:hAnsi="Times New Roman" w:cs="Times New Roman"/>
          <w:color w:val="auto"/>
          <w:lang w:eastAsia="zh-CN"/>
        </w:rPr>
        <w:t>因素</w:t>
      </w:r>
      <w:r>
        <w:rPr>
          <w:rFonts w:hint="eastAsia" w:ascii="Times New Roman" w:hAnsi="Times New Roman" w:cs="Times New Roman"/>
          <w:color w:val="auto"/>
        </w:rPr>
        <w:t>分析法，坚持</w:t>
      </w:r>
      <w:r>
        <w:rPr>
          <w:rFonts w:hint="eastAsia" w:ascii="Times New Roman" w:hAnsi="Times New Roman" w:cs="Times New Roman"/>
          <w:color w:val="auto"/>
          <w:lang w:eastAsia="zh-CN"/>
        </w:rPr>
        <w:t>计划</w:t>
      </w:r>
      <w:r>
        <w:rPr>
          <w:rFonts w:hint="eastAsia" w:ascii="Times New Roman" w:hAnsi="Times New Roman" w:cs="Times New Roman"/>
          <w:color w:val="auto"/>
        </w:rPr>
        <w:t>标准对本项目的</w:t>
      </w:r>
      <w:r>
        <w:rPr>
          <w:rFonts w:hint="eastAsia"/>
          <w:color w:val="auto"/>
        </w:rPr>
        <w:t>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eastAsia="zh-CN"/>
        </w:rPr>
        <w:t>外宣专项业务费</w:t>
      </w:r>
      <w:r>
        <w:rPr>
          <w:rFonts w:hint="eastAsia"/>
          <w:color w:val="auto"/>
        </w:rPr>
        <w:t>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20</w:t>
            </w:r>
          </w:p>
        </w:tc>
      </w:tr>
      <w:tr>
        <w:tblPrEx>
          <w:tblCellMar>
            <w:top w:w="0" w:type="dxa"/>
            <w:left w:w="108" w:type="dxa"/>
            <w:bottom w:w="0" w:type="dxa"/>
            <w:right w:w="108" w:type="dxa"/>
          </w:tblCellMar>
        </w:tblPrEx>
        <w:trPr>
          <w:trHeight w:val="57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36</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36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0" w:firstLineChars="200"/>
              <w:jc w:val="center"/>
              <w:textAlignment w:val="auto"/>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2" w:firstLineChars="200"/>
              <w:jc w:val="center"/>
              <w:textAlignment w:val="auto"/>
              <w:rPr>
                <w:rFonts w:hint="default" w:ascii="Times New Roman" w:hAnsi="Times New Roman" w:eastAsia="仿宋_GB2312" w:cs="Times New Roman"/>
                <w:b/>
                <w:bCs/>
                <w:color w:val="auto"/>
                <w:kern w:val="2"/>
                <w:sz w:val="22"/>
                <w:szCs w:val="24"/>
                <w:lang w:val="en-US" w:eastAsia="zh-CN" w:bidi="ar-SA"/>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40" w:lineRule="exact"/>
              <w:ind w:firstLine="442" w:firstLineChars="200"/>
              <w:jc w:val="center"/>
              <w:textAlignment w:val="auto"/>
              <w:rPr>
                <w:rFonts w:hint="default" w:ascii="Times New Roman" w:hAnsi="Times New Roman" w:eastAsia="仿宋_GB2312" w:cs="Times New Roman"/>
                <w:b/>
                <w:bCs/>
                <w:color w:val="auto"/>
                <w:kern w:val="2"/>
                <w:sz w:val="22"/>
                <w:szCs w:val="24"/>
                <w:lang w:val="en-US" w:eastAsia="zh-CN" w:bidi="ar-SA"/>
              </w:rPr>
            </w:pPr>
            <w:r>
              <w:rPr>
                <w:rFonts w:hint="eastAsia"/>
                <w:b/>
                <w:bCs/>
                <w:color w:val="auto"/>
                <w:sz w:val="22"/>
                <w:lang w:val="en-US" w:eastAsia="zh-CN"/>
              </w:rPr>
              <w:t>100</w:t>
            </w:r>
          </w:p>
        </w:tc>
      </w:tr>
    </w:tbl>
    <w:p>
      <w:pPr>
        <w:pStyle w:val="2"/>
        <w:spacing w:line="360" w:lineRule="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rFonts w:hint="eastAsia" w:eastAsia="仿宋_GB2312"/>
          <w:color w:val="auto"/>
          <w:lang w:eastAsia="zh-CN"/>
        </w:rPr>
      </w:pPr>
      <w:r>
        <w:rPr>
          <w:rFonts w:hint="eastAsia"/>
          <w:color w:val="auto"/>
        </w:rPr>
        <w:t>本项目的项目决策、项目过程、项目产出、项目效益均达到了预期要求，最终得分为100分</w:t>
      </w:r>
      <w:r>
        <w:rPr>
          <w:rFonts w:hint="eastAsia"/>
          <w:color w:val="auto"/>
          <w:lang w:val="en-US" w:eastAsia="zh-CN"/>
        </w:rPr>
        <w:t>,</w:t>
      </w:r>
      <w:r>
        <w:rPr>
          <w:rFonts w:hint="eastAsia"/>
          <w:color w:val="auto"/>
        </w:rPr>
        <w:t>评价等级为“</w:t>
      </w:r>
      <w:r>
        <w:rPr>
          <w:rFonts w:hint="eastAsia"/>
          <w:color w:val="auto"/>
          <w:lang w:eastAsia="zh-CN"/>
        </w:rPr>
        <w:t>优</w:t>
      </w:r>
      <w:r>
        <w:rPr>
          <w:rFonts w:hint="eastAsia"/>
          <w:color w:val="auto"/>
        </w:rPr>
        <w:t>”</w:t>
      </w:r>
      <w:r>
        <w:rPr>
          <w:rFonts w:hint="eastAsia"/>
          <w:color w:val="auto"/>
          <w:lang w:eastAsia="zh-CN"/>
        </w:rPr>
        <w:t>，</w:t>
      </w:r>
      <w:r>
        <w:rPr>
          <w:rFonts w:hint="eastAsia"/>
          <w:color w:val="auto"/>
        </w:rPr>
        <w:t>项目达成年度指标</w:t>
      </w:r>
      <w:r>
        <w:rPr>
          <w:rFonts w:hint="eastAsia"/>
          <w:color w:val="auto"/>
          <w:lang w:eastAsia="zh-CN"/>
        </w:rPr>
        <w:t>。</w:t>
      </w:r>
    </w:p>
    <w:p>
      <w:pPr>
        <w:pStyle w:val="3"/>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2"/>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color w:val="auto"/>
        </w:rPr>
      </w:pPr>
      <w:r>
        <w:rPr>
          <w:rFonts w:hint="eastAsia"/>
          <w:color w:val="auto"/>
        </w:rPr>
        <w:t>1、立项依据充分性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项目立项依据《</w:t>
      </w:r>
      <w:r>
        <w:rPr>
          <w:rFonts w:hint="eastAsia" w:ascii="Times New Roman" w:hAnsi="Times New Roman" w:cs="Times New Roman"/>
          <w:color w:val="auto"/>
          <w:lang w:val="en-US" w:eastAsia="zh-CN"/>
        </w:rPr>
        <w:t>关于下达2022年部门预算指标的通知</w:t>
      </w:r>
      <w:r>
        <w:rPr>
          <w:rFonts w:hint="eastAsia" w:ascii="Times New Roman" w:hAnsi="Times New Roman" w:cs="Times New Roman"/>
          <w:color w:val="auto"/>
        </w:rPr>
        <w:t>》</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2022】1号文件</w:t>
      </w:r>
      <w:r>
        <w:rPr>
          <w:rFonts w:hint="eastAsia" w:ascii="Times New Roman" w:hAnsi="Times New Roman" w:cs="Times New Roman"/>
          <w:color w:val="auto"/>
          <w:lang w:eastAsia="zh-CN"/>
        </w:rPr>
        <w:t>）；</w:t>
      </w:r>
      <w:r>
        <w:rPr>
          <w:rFonts w:hint="eastAsia" w:ascii="Times New Roman" w:hAnsi="Times New Roman" w:cs="Times New Roman"/>
          <w:color w:val="auto"/>
        </w:rPr>
        <w:t>项目立项符合行业发展规划和政策要求；项目立项与部门职责范围相符，属于部门履职所需；项目属于公共财政支持范围，符合中央、地方事权支出责任划分原则；项目</w:t>
      </w:r>
      <w:r>
        <w:rPr>
          <w:rFonts w:hint="eastAsia" w:cs="Times New Roman"/>
          <w:color w:val="auto"/>
          <w:lang w:eastAsia="zh-CN"/>
        </w:rPr>
        <w:t>未</w:t>
      </w:r>
      <w:r>
        <w:rPr>
          <w:rFonts w:hint="eastAsia" w:ascii="Times New Roman" w:hAnsi="Times New Roman" w:cs="Times New Roman"/>
          <w:color w:val="auto"/>
        </w:rPr>
        <w:t>与相关部门同类项目或部门内部相关项目重复。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项目按照规定的程序申请设立；审批文件、材料符合相关要求；事前已经过必要的可行性研究、专家论证、风险评估、绩效评估、集体决策。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lang w:eastAsia="zh-CN"/>
        </w:rPr>
        <w:t>外宣专项业务费</w:t>
      </w:r>
      <w:r>
        <w:rPr>
          <w:rFonts w:hint="eastAsia"/>
          <w:color w:val="auto"/>
        </w:rPr>
        <w:t>项目设立了项目绩效目标，与</w:t>
      </w:r>
      <w:r>
        <w:rPr>
          <w:rFonts w:hint="eastAsia"/>
          <w:color w:val="auto"/>
          <w:lang w:eastAsia="zh-CN"/>
        </w:rPr>
        <w:t>宣传工作</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600" w:firstLineChars="200"/>
        <w:rPr>
          <w:color w:val="auto"/>
        </w:rPr>
      </w:pPr>
      <w:bookmarkStart w:id="12" w:name="_Hlk68699917"/>
      <w:r>
        <w:rPr>
          <w:rFonts w:hint="eastAsia"/>
          <w:color w:val="auto"/>
          <w:lang w:eastAsia="zh-CN"/>
        </w:rPr>
        <w:t>外宣专项业务费</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18</w:t>
      </w:r>
      <w:r>
        <w:rPr>
          <w:rFonts w:hint="eastAsia"/>
          <w:color w:val="auto"/>
        </w:rPr>
        <w:t>条，其中量化指标条数共</w:t>
      </w:r>
      <w:r>
        <w:rPr>
          <w:rFonts w:hint="eastAsia"/>
          <w:color w:val="auto"/>
          <w:lang w:val="en-US" w:eastAsia="zh-CN"/>
        </w:rPr>
        <w:t>17</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w:t>
      </w:r>
      <w:r>
        <w:rPr>
          <w:rFonts w:hint="eastAsia"/>
          <w:color w:val="auto"/>
          <w:lang w:eastAsia="zh-CN"/>
        </w:rPr>
        <w:t>已</w:t>
      </w:r>
      <w:r>
        <w:rPr>
          <w:rFonts w:hint="eastAsia"/>
          <w:color w:val="auto"/>
        </w:rPr>
        <w:t>经过科学论证；预算内容与项目内容匹配；预算额度测算依据充分，按照标准编制；预算确定的项目投资额或资金量与工作任务相匹配。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2"/>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40</w:t>
      </w:r>
      <w:r>
        <w:rPr>
          <w:rFonts w:hint="eastAsia"/>
          <w:color w:val="auto"/>
        </w:rPr>
        <w:t>万元，实际到位资金</w:t>
      </w:r>
      <w:r>
        <w:rPr>
          <w:rFonts w:hint="eastAsia"/>
          <w:color w:val="auto"/>
          <w:lang w:val="en-US" w:eastAsia="zh-CN"/>
        </w:rPr>
        <w:t>40</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40</w:t>
      </w:r>
      <w:r>
        <w:rPr>
          <w:rFonts w:hint="eastAsia"/>
          <w:color w:val="auto"/>
        </w:rPr>
        <w:t>万元，全年预算数</w:t>
      </w:r>
      <w:r>
        <w:rPr>
          <w:rFonts w:hint="eastAsia"/>
          <w:color w:val="auto"/>
          <w:lang w:val="en-US" w:eastAsia="zh-CN"/>
        </w:rPr>
        <w:t>40</w:t>
      </w:r>
      <w:r>
        <w:rPr>
          <w:rFonts w:hint="eastAsia"/>
          <w:color w:val="auto"/>
        </w:rPr>
        <w:t>万元，全年执行数</w:t>
      </w:r>
      <w:r>
        <w:rPr>
          <w:rFonts w:hint="eastAsia"/>
          <w:color w:val="auto"/>
          <w:lang w:val="en-US" w:eastAsia="zh-CN"/>
        </w:rPr>
        <w:t>40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rFonts w:hint="eastAsia" w:eastAsia="仿宋_GB2312"/>
          <w:color w:val="auto"/>
          <w:lang w:eastAsia="zh-CN"/>
        </w:rPr>
      </w:pPr>
      <w:r>
        <w:rPr>
          <w:rFonts w:hint="eastAsia"/>
          <w:color w:val="auto"/>
        </w:rPr>
        <w:t>已制定或具有相应的财务和业务管理制度；财务和业务管理制度是否合法、合规、完整</w:t>
      </w:r>
      <w:r>
        <w:rPr>
          <w:rFonts w:hint="eastAsia"/>
          <w:color w:val="auto"/>
          <w:lang w:eastAsia="zh-CN"/>
        </w:rPr>
        <w:t>。</w:t>
      </w:r>
    </w:p>
    <w:p>
      <w:pPr>
        <w:spacing w:line="360" w:lineRule="auto"/>
        <w:rPr>
          <w:color w:val="auto"/>
        </w:rPr>
      </w:pPr>
      <w:r>
        <w:rPr>
          <w:rFonts w:hint="eastAsia"/>
          <w:color w:val="auto"/>
        </w:rPr>
        <w:t>5、制度执行有效性</w:t>
      </w:r>
    </w:p>
    <w:p>
      <w:pPr>
        <w:spacing w:line="360" w:lineRule="auto"/>
        <w:ind w:firstLine="600" w:firstLineChars="200"/>
        <w:rPr>
          <w:color w:val="auto"/>
        </w:rPr>
      </w:pPr>
      <w:bookmarkStart w:id="14" w:name="_Toc68703840"/>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2"/>
        <w:spacing w:line="360" w:lineRule="auto"/>
        <w:rPr>
          <w:rFonts w:ascii="仿宋_GB2312" w:eastAsia="仿宋_GB2312"/>
          <w:b w:val="0"/>
          <w:bCs w:val="0"/>
          <w:color w:val="auto"/>
        </w:rPr>
      </w:pPr>
      <w:r>
        <w:rPr>
          <w:rFonts w:hint="eastAsia" w:ascii="仿宋_GB2312" w:eastAsia="仿宋_GB2312"/>
          <w:b w:val="0"/>
          <w:bCs w:val="0"/>
          <w:color w:val="auto"/>
        </w:rPr>
        <w:t>（三）项目产出情况。</w:t>
      </w:r>
      <w:bookmarkEnd w:id="14"/>
    </w:p>
    <w:p>
      <w:pPr>
        <w:spacing w:line="360" w:lineRule="auto"/>
        <w:ind w:firstLine="600" w:firstLineChars="200"/>
        <w:rPr>
          <w:rFonts w:hint="eastAsia" w:eastAsia="仿宋_GB2312"/>
          <w:color w:val="auto"/>
          <w:lang w:eastAsia="zh-CN"/>
        </w:rPr>
      </w:pPr>
      <w:r>
        <w:rPr>
          <w:rFonts w:hint="eastAsia"/>
          <w:color w:val="auto"/>
        </w:rPr>
        <w:t>1、数量指标：指标1：举办宣讲活动</w:t>
      </w:r>
      <w:r>
        <w:rPr>
          <w:rFonts w:hint="eastAsia"/>
          <w:color w:val="auto"/>
          <w:lang w:eastAsia="zh-CN"/>
        </w:rPr>
        <w:t>次数</w:t>
      </w:r>
      <w:r>
        <w:rPr>
          <w:rFonts w:hint="eastAsia"/>
          <w:color w:val="auto"/>
        </w:rPr>
        <w:t>，指标值：≥</w:t>
      </w:r>
      <w:r>
        <w:rPr>
          <w:rFonts w:hint="eastAsia"/>
          <w:color w:val="auto"/>
          <w:lang w:val="en-US" w:eastAsia="zh-CN"/>
        </w:rPr>
        <w:t>4次</w:t>
      </w:r>
      <w:r>
        <w:rPr>
          <w:color w:val="auto"/>
        </w:rPr>
        <w:t xml:space="preserve"> </w:t>
      </w:r>
      <w:r>
        <w:rPr>
          <w:rFonts w:hint="eastAsia"/>
          <w:color w:val="auto"/>
        </w:rPr>
        <w:t>，实际完成值</w:t>
      </w:r>
      <w:r>
        <w:rPr>
          <w:rFonts w:hint="eastAsia"/>
          <w:color w:val="auto"/>
          <w:lang w:val="en-US" w:eastAsia="zh-CN"/>
        </w:rPr>
        <w:t>4次</w:t>
      </w:r>
      <w:r>
        <w:rPr>
          <w:color w:val="auto"/>
        </w:rPr>
        <w:t xml:space="preserve"> </w:t>
      </w:r>
      <w:r>
        <w:rPr>
          <w:rFonts w:hint="eastAsia"/>
          <w:color w:val="auto"/>
        </w:rPr>
        <w:t>，指标完成率</w:t>
      </w:r>
      <w:r>
        <w:rPr>
          <w:rFonts w:hint="eastAsia"/>
          <w:color w:val="auto"/>
          <w:lang w:val="en-US" w:eastAsia="zh-CN"/>
        </w:rPr>
        <w:t>100</w:t>
      </w:r>
      <w:r>
        <w:rPr>
          <w:rFonts w:hint="eastAsia"/>
          <w:color w:val="auto"/>
        </w:rPr>
        <w:t>%；指标2：举办宣讲活动</w:t>
      </w:r>
      <w:r>
        <w:rPr>
          <w:rFonts w:hint="eastAsia"/>
          <w:color w:val="auto"/>
          <w:lang w:eastAsia="zh-CN"/>
        </w:rPr>
        <w:t>天数</w:t>
      </w:r>
      <w:r>
        <w:rPr>
          <w:rFonts w:hint="eastAsia"/>
          <w:color w:val="auto"/>
        </w:rPr>
        <w:t>，指标值：≥</w:t>
      </w:r>
      <w:r>
        <w:rPr>
          <w:rFonts w:hint="eastAsia"/>
          <w:color w:val="auto"/>
          <w:lang w:val="en-US" w:eastAsia="zh-CN"/>
        </w:rPr>
        <w:t>12天</w:t>
      </w:r>
      <w:r>
        <w:rPr>
          <w:color w:val="auto"/>
        </w:rPr>
        <w:t xml:space="preserve"> </w:t>
      </w:r>
      <w:r>
        <w:rPr>
          <w:rFonts w:hint="eastAsia"/>
          <w:color w:val="auto"/>
        </w:rPr>
        <w:t>，实际完成值</w:t>
      </w:r>
      <w:r>
        <w:rPr>
          <w:rFonts w:hint="eastAsia"/>
          <w:color w:val="auto"/>
          <w:lang w:val="en-US" w:eastAsia="zh-CN"/>
        </w:rPr>
        <w:t>12天</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：举办宣讲活动</w:t>
      </w:r>
      <w:r>
        <w:rPr>
          <w:rFonts w:hint="eastAsia"/>
          <w:color w:val="auto"/>
          <w:lang w:eastAsia="zh-CN"/>
        </w:rPr>
        <w:t>人数</w:t>
      </w:r>
      <w:r>
        <w:rPr>
          <w:rFonts w:hint="eastAsia"/>
          <w:color w:val="auto"/>
        </w:rPr>
        <w:t>，指标值：≥</w:t>
      </w:r>
      <w:r>
        <w:rPr>
          <w:rFonts w:hint="eastAsia"/>
          <w:color w:val="auto"/>
          <w:lang w:val="en-US" w:eastAsia="zh-CN"/>
        </w:rPr>
        <w:t>50人/次</w:t>
      </w:r>
      <w:r>
        <w:rPr>
          <w:color w:val="auto"/>
        </w:rPr>
        <w:t xml:space="preserve"> </w:t>
      </w:r>
      <w:r>
        <w:rPr>
          <w:rFonts w:hint="eastAsia"/>
          <w:color w:val="auto"/>
        </w:rPr>
        <w:t>，实际完成值</w:t>
      </w:r>
      <w:r>
        <w:rPr>
          <w:rFonts w:hint="eastAsia"/>
          <w:color w:val="auto"/>
          <w:lang w:val="en-US" w:eastAsia="zh-CN"/>
        </w:rPr>
        <w:t>50人/次</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：发布外宣稿件，指标值：≥</w:t>
      </w:r>
      <w:r>
        <w:rPr>
          <w:rFonts w:hint="eastAsia"/>
          <w:color w:val="auto"/>
          <w:lang w:val="en-US" w:eastAsia="zh-CN"/>
        </w:rPr>
        <w:t>300条</w:t>
      </w:r>
      <w:r>
        <w:rPr>
          <w:color w:val="auto"/>
        </w:rPr>
        <w:t xml:space="preserve"> </w:t>
      </w:r>
      <w:r>
        <w:rPr>
          <w:rFonts w:hint="eastAsia"/>
          <w:color w:val="auto"/>
        </w:rPr>
        <w:t>，实际完成值</w:t>
      </w:r>
      <w:r>
        <w:rPr>
          <w:rFonts w:hint="eastAsia"/>
          <w:color w:val="auto"/>
          <w:lang w:val="en-US" w:eastAsia="zh-CN"/>
        </w:rPr>
        <w:t>300条</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w:t>
      </w:r>
      <w:r>
        <w:rPr>
          <w:rFonts w:hint="eastAsia"/>
          <w:color w:val="auto"/>
          <w:lang w:eastAsia="zh-CN"/>
        </w:rPr>
        <w:t>编印宣传材料</w:t>
      </w:r>
      <w:r>
        <w:rPr>
          <w:rFonts w:hint="eastAsia"/>
          <w:color w:val="auto"/>
        </w:rPr>
        <w:t>，指标值：≥</w:t>
      </w:r>
      <w:r>
        <w:rPr>
          <w:rFonts w:hint="eastAsia"/>
          <w:color w:val="auto"/>
          <w:lang w:val="en-US" w:eastAsia="zh-CN"/>
        </w:rPr>
        <w:t>1份</w:t>
      </w:r>
      <w:r>
        <w:rPr>
          <w:color w:val="auto"/>
        </w:rPr>
        <w:t xml:space="preserve"> </w:t>
      </w:r>
      <w:r>
        <w:rPr>
          <w:rFonts w:hint="eastAsia"/>
          <w:color w:val="auto"/>
        </w:rPr>
        <w:t>，实际完成值</w:t>
      </w:r>
      <w:r>
        <w:rPr>
          <w:rFonts w:hint="eastAsia"/>
          <w:color w:val="auto"/>
          <w:lang w:val="en-US" w:eastAsia="zh-CN"/>
        </w:rPr>
        <w:t>1份</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6</w:t>
      </w:r>
      <w:r>
        <w:rPr>
          <w:rFonts w:hint="eastAsia"/>
          <w:color w:val="auto"/>
        </w:rPr>
        <w:t>：</w:t>
      </w:r>
      <w:r>
        <w:rPr>
          <w:rFonts w:hint="eastAsia"/>
          <w:color w:val="auto"/>
          <w:lang w:eastAsia="zh-CN"/>
        </w:rPr>
        <w:t>公务保障用车数量</w:t>
      </w:r>
      <w:r>
        <w:rPr>
          <w:rFonts w:hint="eastAsia"/>
          <w:color w:val="auto"/>
        </w:rPr>
        <w:t>，指标值：≥</w:t>
      </w:r>
      <w:r>
        <w:rPr>
          <w:rFonts w:hint="eastAsia"/>
          <w:color w:val="auto"/>
          <w:lang w:val="en-US" w:eastAsia="zh-CN"/>
        </w:rPr>
        <w:t>2辆</w:t>
      </w:r>
      <w:r>
        <w:rPr>
          <w:color w:val="auto"/>
        </w:rPr>
        <w:t xml:space="preserve"> </w:t>
      </w:r>
      <w:r>
        <w:rPr>
          <w:rFonts w:hint="eastAsia"/>
          <w:color w:val="auto"/>
        </w:rPr>
        <w:t>，实际完成值</w:t>
      </w:r>
      <w:r>
        <w:rPr>
          <w:rFonts w:hint="eastAsia"/>
          <w:color w:val="auto"/>
          <w:lang w:val="en-US" w:eastAsia="zh-CN"/>
        </w:rPr>
        <w:t>2辆</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color w:val="auto"/>
        </w:rPr>
        <w:t>2</w:t>
      </w:r>
      <w:r>
        <w:rPr>
          <w:rFonts w:hint="eastAsia"/>
          <w:color w:val="auto"/>
        </w:rPr>
        <w:t>、质量指标：指标1：</w:t>
      </w:r>
      <w:r>
        <w:rPr>
          <w:rFonts w:hint="eastAsia"/>
          <w:color w:val="auto"/>
          <w:lang w:eastAsia="zh-CN"/>
        </w:rPr>
        <w:t>编印宣传材料质量合格率</w:t>
      </w:r>
      <w:r>
        <w:rPr>
          <w:rFonts w:hint="eastAsia"/>
          <w:color w:val="auto"/>
        </w:rPr>
        <w:t>，指标值：</w:t>
      </w:r>
      <w:r>
        <w:rPr>
          <w:rFonts w:hint="eastAsia"/>
          <w:color w:val="auto"/>
          <w:lang w:val="en-US" w:eastAsia="zh-CN"/>
        </w:rPr>
        <w:t>=100%</w:t>
      </w:r>
      <w:r>
        <w:rPr>
          <w:color w:val="auto"/>
        </w:rPr>
        <w:t xml:space="preserve"> </w:t>
      </w:r>
      <w:r>
        <w:rPr>
          <w:rFonts w:hint="eastAsia"/>
          <w:color w:val="auto"/>
        </w:rPr>
        <w:t>，实际完成值</w:t>
      </w:r>
      <w:r>
        <w:rPr>
          <w:rFonts w:hint="eastAsia"/>
          <w:color w:val="auto"/>
          <w:lang w:val="en-US" w:eastAsia="zh-CN"/>
        </w:rPr>
        <w:t>100%</w:t>
      </w:r>
      <w:r>
        <w:rPr>
          <w:color w:val="auto"/>
        </w:rPr>
        <w:t xml:space="preserve"> </w:t>
      </w:r>
      <w:r>
        <w:rPr>
          <w:rFonts w:hint="eastAsia"/>
          <w:color w:val="auto"/>
        </w:rPr>
        <w:t>，指标完成率</w:t>
      </w:r>
      <w:r>
        <w:rPr>
          <w:rFonts w:hint="eastAsia"/>
          <w:color w:val="auto"/>
          <w:lang w:val="en-US" w:eastAsia="zh-CN"/>
        </w:rPr>
        <w:t>100</w:t>
      </w:r>
      <w:r>
        <w:rPr>
          <w:rFonts w:hint="eastAsia"/>
          <w:color w:val="auto"/>
        </w:rPr>
        <w:t>%；指标2：</w:t>
      </w:r>
      <w:r>
        <w:rPr>
          <w:rFonts w:hint="eastAsia"/>
          <w:color w:val="auto"/>
          <w:lang w:eastAsia="zh-CN"/>
        </w:rPr>
        <w:t>报刊杂志征订率</w:t>
      </w:r>
      <w:r>
        <w:rPr>
          <w:rFonts w:hint="eastAsia"/>
          <w:color w:val="auto"/>
        </w:rPr>
        <w:t>，指标值：≥</w:t>
      </w:r>
      <w:r>
        <w:rPr>
          <w:rFonts w:hint="eastAsia"/>
          <w:color w:val="auto"/>
          <w:lang w:val="en-US" w:eastAsia="zh-CN"/>
        </w:rPr>
        <w:t>80%</w:t>
      </w:r>
      <w:r>
        <w:rPr>
          <w:color w:val="auto"/>
        </w:rPr>
        <w:t xml:space="preserve"> </w:t>
      </w:r>
      <w:r>
        <w:rPr>
          <w:rFonts w:hint="eastAsia"/>
          <w:color w:val="auto"/>
        </w:rPr>
        <w:t>，实际完成值</w:t>
      </w:r>
      <w:r>
        <w:rPr>
          <w:rFonts w:hint="eastAsia"/>
          <w:color w:val="auto"/>
          <w:lang w:val="en-US" w:eastAsia="zh-CN"/>
        </w:rPr>
        <w:t>80%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：宣讲活动</w:t>
      </w:r>
      <w:r>
        <w:rPr>
          <w:rFonts w:hint="eastAsia"/>
          <w:color w:val="auto"/>
          <w:lang w:eastAsia="zh-CN"/>
        </w:rPr>
        <w:t>覆盖率</w:t>
      </w:r>
      <w:r>
        <w:rPr>
          <w:rFonts w:hint="eastAsia"/>
          <w:color w:val="auto"/>
        </w:rPr>
        <w:t>，指标值：≥</w:t>
      </w:r>
      <w:r>
        <w:rPr>
          <w:rFonts w:hint="eastAsia"/>
          <w:color w:val="auto"/>
          <w:lang w:val="en-US" w:eastAsia="zh-CN"/>
        </w:rPr>
        <w:t>90%</w:t>
      </w:r>
      <w:r>
        <w:rPr>
          <w:color w:val="auto"/>
        </w:rPr>
        <w:t xml:space="preserve"> </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rPr>
        <w:t>3、时效指标：指标1：宣讲活动</w:t>
      </w:r>
      <w:r>
        <w:rPr>
          <w:rFonts w:hint="eastAsia"/>
          <w:color w:val="auto"/>
          <w:lang w:eastAsia="zh-CN"/>
        </w:rPr>
        <w:t>按计划完成率</w:t>
      </w:r>
      <w:r>
        <w:rPr>
          <w:rFonts w:hint="eastAsia"/>
          <w:color w:val="auto"/>
        </w:rPr>
        <w:t>，指标值：</w:t>
      </w:r>
      <w:r>
        <w:rPr>
          <w:rFonts w:hint="eastAsia"/>
          <w:color w:val="auto"/>
          <w:lang w:val="en-US" w:eastAsia="zh-CN"/>
        </w:rPr>
        <w:t>=100%</w:t>
      </w:r>
      <w:r>
        <w:rPr>
          <w:color w:val="auto"/>
        </w:rPr>
        <w:t xml:space="preserve"> </w:t>
      </w:r>
      <w:r>
        <w:rPr>
          <w:rFonts w:hint="eastAsia"/>
          <w:color w:val="auto"/>
        </w:rPr>
        <w:t>，实际完成值</w:t>
      </w:r>
      <w:r>
        <w:rPr>
          <w:rFonts w:hint="eastAsia"/>
          <w:color w:val="auto"/>
          <w:lang w:val="en-US" w:eastAsia="zh-CN"/>
        </w:rPr>
        <w:t>100%</w:t>
      </w:r>
      <w:r>
        <w:rPr>
          <w:color w:val="auto"/>
        </w:rPr>
        <w:t xml:space="preserve"> </w:t>
      </w:r>
      <w:r>
        <w:rPr>
          <w:rFonts w:hint="eastAsia"/>
          <w:color w:val="auto"/>
        </w:rPr>
        <w:t>，指标完成率</w:t>
      </w:r>
      <w:r>
        <w:rPr>
          <w:rFonts w:hint="eastAsia"/>
          <w:color w:val="auto"/>
          <w:lang w:val="en-US" w:eastAsia="zh-CN"/>
        </w:rPr>
        <w:t>100</w:t>
      </w:r>
      <w:r>
        <w:rPr>
          <w:rFonts w:hint="eastAsia"/>
          <w:color w:val="auto"/>
        </w:rPr>
        <w:t>%；指标2：</w:t>
      </w:r>
      <w:r>
        <w:rPr>
          <w:rFonts w:hint="eastAsia"/>
          <w:color w:val="auto"/>
          <w:lang w:eastAsia="zh-CN"/>
        </w:rPr>
        <w:t>公用经费支付及时率</w:t>
      </w:r>
      <w:r>
        <w:rPr>
          <w:rFonts w:hint="eastAsia"/>
          <w:color w:val="auto"/>
        </w:rPr>
        <w:t>，指标值：≥</w:t>
      </w:r>
      <w:r>
        <w:rPr>
          <w:rFonts w:hint="eastAsia"/>
          <w:color w:val="auto"/>
          <w:lang w:val="en-US" w:eastAsia="zh-CN"/>
        </w:rPr>
        <w:t>90%</w:t>
      </w:r>
      <w:r>
        <w:rPr>
          <w:color w:val="auto"/>
        </w:rPr>
        <w:t xml:space="preserve"> </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4、成本指标</w:t>
      </w:r>
      <w:r>
        <w:rPr>
          <w:rFonts w:hint="eastAsia"/>
          <w:color w:val="auto"/>
          <w:lang w:eastAsia="zh-CN"/>
        </w:rPr>
        <w:t>：</w:t>
      </w:r>
      <w:r>
        <w:rPr>
          <w:rFonts w:hint="eastAsia"/>
          <w:color w:val="auto"/>
        </w:rPr>
        <w:t>指标1：举办活动</w:t>
      </w:r>
      <w:r>
        <w:rPr>
          <w:rFonts w:hint="eastAsia"/>
          <w:color w:val="auto"/>
          <w:lang w:eastAsia="zh-CN"/>
        </w:rPr>
        <w:t>费用</w:t>
      </w:r>
      <w:r>
        <w:rPr>
          <w:rFonts w:hint="eastAsia"/>
          <w:color w:val="auto"/>
        </w:rPr>
        <w:t>，指标值：≤</w:t>
      </w:r>
      <w:r>
        <w:rPr>
          <w:rFonts w:hint="eastAsia"/>
          <w:color w:val="auto"/>
          <w:lang w:val="en-US" w:eastAsia="zh-CN"/>
        </w:rPr>
        <w:t>12万元</w:t>
      </w:r>
      <w:r>
        <w:rPr>
          <w:color w:val="auto"/>
        </w:rPr>
        <w:t xml:space="preserve"> </w:t>
      </w:r>
      <w:r>
        <w:rPr>
          <w:rFonts w:hint="eastAsia"/>
          <w:color w:val="auto"/>
        </w:rPr>
        <w:t>，实际完成值</w:t>
      </w:r>
      <w:r>
        <w:rPr>
          <w:rFonts w:hint="eastAsia"/>
          <w:color w:val="auto"/>
          <w:lang w:val="en-US" w:eastAsia="zh-CN"/>
        </w:rPr>
        <w:t>12万元</w:t>
      </w:r>
      <w:r>
        <w:rPr>
          <w:color w:val="auto"/>
        </w:rPr>
        <w:t xml:space="preserve"> </w:t>
      </w:r>
      <w:r>
        <w:rPr>
          <w:rFonts w:hint="eastAsia"/>
          <w:color w:val="auto"/>
        </w:rPr>
        <w:t>，指标完成率</w:t>
      </w:r>
      <w:r>
        <w:rPr>
          <w:rFonts w:hint="eastAsia"/>
          <w:color w:val="auto"/>
          <w:lang w:val="en-US" w:eastAsia="zh-CN"/>
        </w:rPr>
        <w:t>100</w:t>
      </w:r>
      <w:r>
        <w:rPr>
          <w:rFonts w:hint="eastAsia"/>
          <w:color w:val="auto"/>
        </w:rPr>
        <w:t>%；指标2：</w:t>
      </w:r>
      <w:r>
        <w:rPr>
          <w:rFonts w:hint="eastAsia"/>
          <w:color w:val="auto"/>
          <w:lang w:eastAsia="zh-CN"/>
        </w:rPr>
        <w:t>发布外宣费用</w:t>
      </w:r>
      <w:r>
        <w:rPr>
          <w:rFonts w:hint="eastAsia"/>
          <w:color w:val="auto"/>
        </w:rPr>
        <w:t>，指标值：≤</w:t>
      </w:r>
      <w:r>
        <w:rPr>
          <w:rFonts w:hint="eastAsia"/>
          <w:color w:val="auto"/>
          <w:lang w:val="en-US" w:eastAsia="zh-CN"/>
        </w:rPr>
        <w:t>5万元</w:t>
      </w:r>
      <w:r>
        <w:rPr>
          <w:color w:val="auto"/>
        </w:rPr>
        <w:t xml:space="preserve"> </w:t>
      </w:r>
      <w:r>
        <w:rPr>
          <w:rFonts w:hint="eastAsia"/>
          <w:color w:val="auto"/>
        </w:rPr>
        <w:t>，实际完成值</w:t>
      </w:r>
      <w:r>
        <w:rPr>
          <w:rFonts w:hint="eastAsia"/>
          <w:color w:val="auto"/>
          <w:lang w:val="en-US" w:eastAsia="zh-CN"/>
        </w:rPr>
        <w:t>5万元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w:t>
      </w:r>
      <w:r>
        <w:rPr>
          <w:rFonts w:hint="eastAsia"/>
          <w:color w:val="auto"/>
          <w:lang w:eastAsia="zh-CN"/>
        </w:rPr>
        <w:t>编印宣传材料费用</w:t>
      </w:r>
      <w:r>
        <w:rPr>
          <w:rFonts w:hint="eastAsia"/>
          <w:color w:val="auto"/>
        </w:rPr>
        <w:t>，指标值：≤</w:t>
      </w:r>
      <w:r>
        <w:rPr>
          <w:rFonts w:hint="eastAsia"/>
          <w:color w:val="auto"/>
          <w:lang w:val="en-US" w:eastAsia="zh-CN"/>
        </w:rPr>
        <w:t>10万元</w:t>
      </w:r>
      <w:r>
        <w:rPr>
          <w:color w:val="auto"/>
        </w:rPr>
        <w:t xml:space="preserve"> </w:t>
      </w:r>
      <w:r>
        <w:rPr>
          <w:rFonts w:hint="eastAsia"/>
          <w:color w:val="auto"/>
        </w:rPr>
        <w:t>，实际完成值</w:t>
      </w:r>
      <w:r>
        <w:rPr>
          <w:rFonts w:hint="eastAsia"/>
          <w:color w:val="auto"/>
          <w:lang w:val="en-US" w:eastAsia="zh-CN"/>
        </w:rPr>
        <w:t>10万元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w:t>
      </w:r>
      <w:r>
        <w:rPr>
          <w:rFonts w:hint="eastAsia"/>
          <w:color w:val="auto"/>
          <w:lang w:eastAsia="zh-CN"/>
        </w:rPr>
        <w:t>车辆运行维护费</w:t>
      </w:r>
      <w:r>
        <w:rPr>
          <w:rFonts w:hint="eastAsia"/>
          <w:color w:val="auto"/>
        </w:rPr>
        <w:t>，指标值：≤</w:t>
      </w:r>
      <w:r>
        <w:rPr>
          <w:rFonts w:hint="eastAsia"/>
          <w:color w:val="auto"/>
          <w:lang w:val="en-US" w:eastAsia="zh-CN"/>
        </w:rPr>
        <w:t>4万元</w:t>
      </w:r>
      <w:r>
        <w:rPr>
          <w:color w:val="auto"/>
        </w:rPr>
        <w:t xml:space="preserve"> </w:t>
      </w:r>
      <w:r>
        <w:rPr>
          <w:rFonts w:hint="eastAsia"/>
          <w:color w:val="auto"/>
        </w:rPr>
        <w:t>，实际完成值</w:t>
      </w:r>
      <w:r>
        <w:rPr>
          <w:rFonts w:hint="eastAsia"/>
          <w:color w:val="auto"/>
          <w:lang w:val="en-US" w:eastAsia="zh-CN"/>
        </w:rPr>
        <w:t>4万元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w:t>
      </w:r>
      <w:r>
        <w:rPr>
          <w:rFonts w:hint="eastAsia"/>
          <w:color w:val="auto"/>
          <w:lang w:eastAsia="zh-CN"/>
        </w:rPr>
        <w:t>外宣运转经费</w:t>
      </w:r>
      <w:r>
        <w:rPr>
          <w:rFonts w:hint="eastAsia"/>
          <w:color w:val="auto"/>
        </w:rPr>
        <w:t>，指标值：≤</w:t>
      </w:r>
      <w:r>
        <w:rPr>
          <w:rFonts w:hint="eastAsia"/>
          <w:color w:val="auto"/>
          <w:lang w:val="en-US" w:eastAsia="zh-CN"/>
        </w:rPr>
        <w:t>9万元</w:t>
      </w:r>
      <w:r>
        <w:rPr>
          <w:color w:val="auto"/>
        </w:rPr>
        <w:t xml:space="preserve"> </w:t>
      </w:r>
      <w:r>
        <w:rPr>
          <w:rFonts w:hint="eastAsia"/>
          <w:color w:val="auto"/>
        </w:rPr>
        <w:t>，实际完成值</w:t>
      </w:r>
      <w:r>
        <w:rPr>
          <w:rFonts w:hint="eastAsia"/>
          <w:color w:val="auto"/>
          <w:lang w:val="en-US" w:eastAsia="zh-CN"/>
        </w:rPr>
        <w:t>9万元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2"/>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color w:val="auto"/>
        </w:rPr>
      </w:pPr>
      <w:r>
        <w:rPr>
          <w:color w:val="auto"/>
        </w:rPr>
        <w:t>1</w:t>
      </w:r>
      <w:r>
        <w:rPr>
          <w:rFonts w:hint="eastAsia"/>
          <w:color w:val="auto"/>
        </w:rPr>
        <w:t>、社会效益指标：指标1：提升社会精神文明程度</w:t>
      </w:r>
      <w:r>
        <w:rPr>
          <w:rFonts w:hint="eastAsia"/>
          <w:color w:val="auto"/>
          <w:lang w:eastAsia="zh-CN"/>
        </w:rPr>
        <w:t>，</w:t>
      </w:r>
      <w:r>
        <w:rPr>
          <w:rFonts w:hint="eastAsia"/>
          <w:color w:val="auto"/>
        </w:rPr>
        <w:t>指标值：有效提升</w:t>
      </w:r>
      <w:r>
        <w:rPr>
          <w:color w:val="auto"/>
        </w:rPr>
        <w:t xml:space="preserve"> </w:t>
      </w:r>
      <w:r>
        <w:rPr>
          <w:rFonts w:hint="eastAsia"/>
          <w:color w:val="auto"/>
        </w:rPr>
        <w:t>，实际完成值</w:t>
      </w:r>
      <w:r>
        <w:rPr>
          <w:rFonts w:hint="eastAsia"/>
          <w:color w:val="auto"/>
          <w:lang w:val="en-US" w:eastAsia="zh-CN"/>
        </w:rPr>
        <w:t>有效提升</w:t>
      </w:r>
      <w:r>
        <w:rPr>
          <w:color w:val="auto"/>
        </w:rPr>
        <w:t xml:space="preserve"> </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auto"/>
        </w:rPr>
      </w:pPr>
      <w:r>
        <w:rPr>
          <w:rFonts w:hint="eastAsia"/>
          <w:color w:val="auto"/>
          <w:lang w:val="en-US" w:eastAsia="zh-CN"/>
        </w:rPr>
        <w:t>2</w:t>
      </w:r>
      <w:r>
        <w:rPr>
          <w:rFonts w:hint="eastAsia"/>
          <w:color w:val="auto"/>
        </w:rPr>
        <w:t>、满意度指标：指标1：</w:t>
      </w:r>
      <w:r>
        <w:rPr>
          <w:rFonts w:hint="eastAsia"/>
          <w:color w:val="auto"/>
          <w:lang w:eastAsia="zh-CN"/>
        </w:rPr>
        <w:t>社会公众满意度，</w:t>
      </w:r>
      <w:r>
        <w:rPr>
          <w:rFonts w:hint="eastAsia"/>
          <w:color w:val="auto"/>
        </w:rPr>
        <w:t>指标值：≥9</w:t>
      </w:r>
      <w:r>
        <w:rPr>
          <w:rFonts w:hint="eastAsia"/>
          <w:color w:val="auto"/>
          <w:lang w:val="en-US" w:eastAsia="zh-CN"/>
        </w:rPr>
        <w:t>0</w:t>
      </w:r>
      <w:r>
        <w:rPr>
          <w:rFonts w:hint="eastAsia"/>
          <w:color w:val="auto"/>
        </w:rPr>
        <w:t>%</w:t>
      </w:r>
      <w:r>
        <w:rPr>
          <w:color w:val="auto"/>
        </w:rPr>
        <w:t xml:space="preserve"> </w:t>
      </w:r>
      <w:r>
        <w:rPr>
          <w:rFonts w:hint="eastAsia"/>
          <w:color w:val="auto"/>
        </w:rPr>
        <w:t>，实际完成值9</w:t>
      </w:r>
      <w:r>
        <w:rPr>
          <w:rFonts w:hint="eastAsia"/>
          <w:color w:val="auto"/>
          <w:lang w:val="en-US" w:eastAsia="zh-CN"/>
        </w:rPr>
        <w:t>0</w:t>
      </w:r>
      <w:r>
        <w:rPr>
          <w:rFonts w:hint="eastAsia"/>
          <w:color w:val="auto"/>
        </w:rPr>
        <w:t>%</w:t>
      </w:r>
      <w:r>
        <w:rPr>
          <w:color w:val="auto"/>
        </w:rPr>
        <w:t xml:space="preserve"> </w:t>
      </w:r>
      <w:r>
        <w:rPr>
          <w:rFonts w:hint="eastAsia"/>
          <w:color w:val="auto"/>
        </w:rPr>
        <w:t>，指标完成率</w:t>
      </w:r>
      <w:r>
        <w:rPr>
          <w:rFonts w:hint="eastAsia"/>
          <w:color w:val="auto"/>
          <w:lang w:val="en-US" w:eastAsia="zh-CN"/>
        </w:rPr>
        <w:t>100%。</w:t>
      </w:r>
    </w:p>
    <w:p>
      <w:pPr>
        <w:pStyle w:val="3"/>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2"/>
        <w:spacing w:line="360" w:lineRule="auto"/>
        <w:rPr>
          <w:rFonts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lang w:val="en-US" w:eastAsia="zh-CN"/>
        </w:rPr>
      </w:pPr>
      <w:bookmarkStart w:id="18" w:name="_Toc68703844"/>
      <w:r>
        <w:rPr>
          <w:rFonts w:hint="eastAsia" w:ascii="Times New Roman" w:hAnsi="Times New Roman" w:cs="Times New Roman"/>
          <w:color w:val="auto"/>
          <w:lang w:val="en-US" w:eastAsia="zh-CN"/>
        </w:rPr>
        <w:t>一、举旗帜、强引领，全面准确把握政治方向。坚持“学习始终在线” 、坚持“旁听指导学习”、坚持“宣讲普及创新”、坚持“理论研究出成果”</w:t>
      </w:r>
      <w:r>
        <w:rPr>
          <w:rFonts w:hint="default" w:ascii="Times New Roman" w:hAnsi="Times New Roman" w:cs="Times New Roman"/>
          <w:color w:val="auto"/>
          <w:lang w:val="en-US" w:eastAsia="zh-CN"/>
        </w:rPr>
        <w:t>。</w:t>
      </w:r>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二、严措施、抓规范，持续强化意识形态工作。</w:t>
      </w:r>
      <w:r>
        <w:rPr>
          <w:rFonts w:hint="default" w:ascii="Times New Roman" w:hAnsi="Times New Roman" w:cs="Times New Roman"/>
          <w:color w:val="auto"/>
          <w:lang w:val="en-US" w:eastAsia="zh-CN"/>
        </w:rPr>
        <w:t>坚持党对意识形态工作的领导权</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扎实做好重点人群的宣传教育工作</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抓好舆情信息收集上报工作</w:t>
      </w:r>
      <w:r>
        <w:rPr>
          <w:rFonts w:hint="eastAsia" w:ascii="Times New Roman" w:hAnsi="Times New Roman" w:cs="Times New Roman"/>
          <w:color w:val="auto"/>
          <w:lang w:val="en-US" w:eastAsia="zh-CN"/>
        </w:rPr>
        <w:t>、常态化做好审读工作。</w:t>
      </w:r>
    </w:p>
    <w:p>
      <w:pPr>
        <w:pageBreakBefore w:val="0"/>
        <w:kinsoku/>
        <w:wordWrap/>
        <w:overflowPunct/>
        <w:topLinePunct w:val="0"/>
        <w:autoSpaceDE/>
        <w:autoSpaceDN/>
        <w:bidi w:val="0"/>
        <w:adjustRightInd/>
        <w:snapToGrid/>
        <w:spacing w:line="540" w:lineRule="exact"/>
        <w:ind w:firstLine="600" w:firstLineChars="200"/>
        <w:textAlignment w:val="auto"/>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三、育新人、树新风，全面推进精神文明建设。统筹管理，扎实</w:t>
      </w:r>
      <w:r>
        <w:rPr>
          <w:rFonts w:hint="default" w:ascii="Times New Roman" w:hAnsi="Times New Roman" w:cs="Times New Roman"/>
          <w:color w:val="auto"/>
          <w:lang w:val="en-US" w:eastAsia="zh-CN"/>
        </w:rPr>
        <w:t>构建</w:t>
      </w:r>
      <w:r>
        <w:rPr>
          <w:rFonts w:hint="eastAsia" w:ascii="Times New Roman" w:hAnsi="Times New Roman" w:cs="Times New Roman"/>
          <w:color w:val="auto"/>
          <w:lang w:val="en-US" w:eastAsia="zh-CN"/>
        </w:rPr>
        <w:t>文明实践</w:t>
      </w:r>
      <w:r>
        <w:rPr>
          <w:rFonts w:hint="default" w:ascii="Times New Roman" w:hAnsi="Times New Roman" w:cs="Times New Roman"/>
          <w:color w:val="auto"/>
          <w:lang w:val="en-US" w:eastAsia="zh-CN"/>
        </w:rPr>
        <w:t>阵地网络</w:t>
      </w:r>
      <w:r>
        <w:rPr>
          <w:rFonts w:hint="eastAsia" w:ascii="Times New Roman" w:hAnsi="Times New Roman" w:cs="Times New Roman"/>
          <w:color w:val="auto"/>
          <w:lang w:val="en-US" w:eastAsia="zh-CN"/>
        </w:rPr>
        <w:t>、注重实践，深入推进</w:t>
      </w:r>
      <w:r>
        <w:rPr>
          <w:rFonts w:hint="default" w:ascii="Times New Roman" w:hAnsi="Times New Roman" w:cs="Times New Roman"/>
          <w:color w:val="auto"/>
          <w:lang w:val="en-US" w:eastAsia="zh-CN"/>
        </w:rPr>
        <w:t>志愿服务常态化精准化</w:t>
      </w:r>
      <w:r>
        <w:rPr>
          <w:rFonts w:hint="eastAsia" w:ascii="Times New Roman" w:hAnsi="Times New Roman" w:cs="Times New Roman"/>
          <w:color w:val="auto"/>
          <w:lang w:val="en-US" w:eastAsia="zh-CN"/>
        </w:rPr>
        <w:t>、引领风尚，着力</w:t>
      </w:r>
      <w:r>
        <w:rPr>
          <w:rFonts w:hint="default" w:ascii="Times New Roman" w:hAnsi="Times New Roman" w:cs="Times New Roman"/>
          <w:color w:val="auto"/>
          <w:lang w:val="en-US" w:eastAsia="zh-CN"/>
        </w:rPr>
        <w:t>培育践行主流价值</w:t>
      </w:r>
      <w:r>
        <w:rPr>
          <w:rFonts w:hint="default" w:ascii="Times New Roman" w:hAnsi="Times New Roman" w:cs="Times New Roman"/>
          <w:color w:val="auto"/>
          <w:lang w:val="en" w:eastAsia="zh-CN"/>
        </w:rPr>
        <w:t>观</w:t>
      </w:r>
      <w:r>
        <w:rPr>
          <w:rFonts w:hint="eastAsia" w:ascii="Times New Roman" w:hAnsi="Times New Roman" w:cs="Times New Roman"/>
          <w:color w:val="auto"/>
          <w:lang w:val="en" w:eastAsia="zh-CN"/>
        </w:rPr>
        <w:t>、</w:t>
      </w:r>
      <w:r>
        <w:rPr>
          <w:rFonts w:hint="eastAsia" w:ascii="Times New Roman" w:hAnsi="Times New Roman" w:cs="Times New Roman"/>
          <w:color w:val="auto"/>
          <w:lang w:val="en-US" w:eastAsia="zh-CN"/>
        </w:rPr>
        <w:t>培育文明，</w:t>
      </w:r>
      <w:r>
        <w:rPr>
          <w:rFonts w:hint="default" w:ascii="Times New Roman" w:hAnsi="Times New Roman" w:cs="Times New Roman"/>
          <w:color w:val="auto"/>
          <w:lang w:val="en-US" w:eastAsia="zh-CN"/>
        </w:rPr>
        <w:t>扎实开展</w:t>
      </w:r>
      <w:r>
        <w:rPr>
          <w:rFonts w:hint="eastAsia" w:ascii="Times New Roman" w:hAnsi="Times New Roman" w:cs="Times New Roman"/>
          <w:color w:val="auto"/>
          <w:lang w:val="en-US" w:eastAsia="zh-CN"/>
        </w:rPr>
        <w:t>道德模范</w:t>
      </w:r>
      <w:r>
        <w:rPr>
          <w:rFonts w:hint="default" w:ascii="Times New Roman" w:hAnsi="Times New Roman" w:cs="Times New Roman"/>
          <w:color w:val="auto"/>
          <w:lang w:val="en-US" w:eastAsia="zh-CN"/>
        </w:rPr>
        <w:t>评选活动。</w:t>
      </w:r>
    </w:p>
    <w:p>
      <w:pPr>
        <w:pageBreakBefore w:val="0"/>
        <w:kinsoku/>
        <w:wordWrap/>
        <w:overflowPunct/>
        <w:topLinePunct w:val="0"/>
        <w:autoSpaceDE/>
        <w:autoSpaceDN/>
        <w:bidi w:val="0"/>
        <w:adjustRightInd/>
        <w:snapToGrid/>
        <w:spacing w:line="540" w:lineRule="exact"/>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四、抓融合、重创新，扎实推进</w:t>
      </w:r>
      <w:r>
        <w:rPr>
          <w:rFonts w:hint="default" w:ascii="Times New Roman" w:hAnsi="Times New Roman" w:cs="Times New Roman"/>
          <w:color w:val="auto"/>
          <w:lang w:val="en-US" w:eastAsia="zh-CN"/>
        </w:rPr>
        <w:t>文化润疆工</w:t>
      </w:r>
      <w:r>
        <w:rPr>
          <w:rFonts w:hint="eastAsia" w:ascii="Times New Roman" w:hAnsi="Times New Roman" w:cs="Times New Roman"/>
          <w:color w:val="auto"/>
          <w:lang w:val="en-US" w:eastAsia="zh-CN"/>
        </w:rPr>
        <w:t>作</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突出抓好公共文化服务项目、</w:t>
      </w:r>
      <w:r>
        <w:rPr>
          <w:rFonts w:hint="default" w:ascii="Times New Roman" w:hAnsi="Times New Roman" w:cs="Times New Roman"/>
          <w:color w:val="auto"/>
          <w:lang w:val="en-US" w:eastAsia="zh-CN"/>
        </w:rPr>
        <w:t>鼓励支持文艺精品创作</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狠抓文化阵地管理</w:t>
      </w:r>
      <w:r>
        <w:rPr>
          <w:rFonts w:hint="eastAsia" w:ascii="Times New Roman" w:hAnsi="Times New Roman" w:cs="Times New Roman"/>
          <w:color w:val="auto"/>
          <w:lang w:val="en-US" w:eastAsia="zh-CN"/>
        </w:rPr>
        <w:t>。</w:t>
      </w:r>
    </w:p>
    <w:p>
      <w:pPr>
        <w:pageBreakBefore w:val="0"/>
        <w:kinsoku/>
        <w:wordWrap/>
        <w:overflowPunct/>
        <w:topLinePunct w:val="0"/>
        <w:autoSpaceDE/>
        <w:autoSpaceDN/>
        <w:bidi w:val="0"/>
        <w:adjustRightInd/>
        <w:snapToGrid/>
        <w:spacing w:line="540" w:lineRule="exact"/>
        <w:ind w:firstLine="60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五、拓外宣，抓内宣，生动鲜活讲好霍城故事。外宣立体化塑形象、内宣全方位聚合力、舆论先行力壮声势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00" w:firstLineChars="200"/>
        <w:textAlignment w:val="auto"/>
        <w:rPr>
          <w:rFonts w:hint="default" w:ascii="仿宋_GB2312" w:hAnsi="仿宋_GB2312" w:eastAsia="仿宋_GB2312" w:cs="仿宋_GB2312"/>
          <w:color w:val="auto"/>
          <w:sz w:val="32"/>
          <w:szCs w:val="32"/>
          <w:lang w:val="en-US" w:eastAsia="zh-CN"/>
        </w:rPr>
      </w:pPr>
      <w:r>
        <w:rPr>
          <w:rFonts w:hint="eastAsia" w:ascii="Times New Roman" w:hAnsi="Times New Roman" w:eastAsia="仿宋_GB2312" w:cs="Times New Roman"/>
          <w:b w:val="0"/>
          <w:bCs w:val="0"/>
          <w:color w:val="auto"/>
          <w:kern w:val="2"/>
          <w:sz w:val="30"/>
          <w:szCs w:val="24"/>
          <w:lang w:val="en-US" w:eastAsia="zh-CN" w:bidi="ar-SA"/>
        </w:rPr>
        <w:t>六、</w:t>
      </w:r>
      <w:r>
        <w:rPr>
          <w:rFonts w:hint="eastAsia" w:ascii="Times New Roman" w:hAnsi="Times New Roman" w:cs="Times New Roman"/>
          <w:color w:val="auto"/>
          <w:lang w:val="en-US" w:eastAsia="zh-CN"/>
        </w:rPr>
        <w:t>严作风，强四力，建强宣传思想工作队伍。</w:t>
      </w:r>
      <w:r>
        <w:rPr>
          <w:rFonts w:hint="default" w:ascii="Times New Roman" w:hAnsi="Times New Roman" w:cs="Times New Roman"/>
          <w:color w:val="auto"/>
          <w:lang w:val="en-US" w:eastAsia="zh-CN"/>
        </w:rPr>
        <w:t>加强“四力”培训力度</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调整充实宣传干部队伍</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持续深化作风建设。</w:t>
      </w:r>
    </w:p>
    <w:p>
      <w:pPr>
        <w:pStyle w:val="2"/>
        <w:spacing w:line="360" w:lineRule="auto"/>
        <w:rPr>
          <w:rFonts w:ascii="仿宋_GB2312" w:eastAsia="仿宋_GB2312"/>
          <w:b w:val="0"/>
          <w:bCs w:val="0"/>
          <w:color w:val="auto"/>
        </w:rPr>
      </w:pPr>
      <w:r>
        <w:rPr>
          <w:rFonts w:hint="eastAsia" w:ascii="仿宋_GB2312" w:eastAsia="仿宋_GB2312"/>
          <w:b w:val="0"/>
          <w:bCs w:val="0"/>
          <w:color w:val="auto"/>
        </w:rPr>
        <w:t>（二）存在的问题及原因分析</w:t>
      </w:r>
      <w:bookmarkEnd w:id="18"/>
    </w:p>
    <w:p>
      <w:pPr>
        <w:ind w:firstLine="600" w:firstLineChars="200"/>
        <w:rPr>
          <w:rFonts w:hint="eastAsia" w:cs="Times New Roman"/>
          <w:b w:val="0"/>
          <w:bCs w:val="0"/>
          <w:color w:val="auto"/>
          <w:kern w:val="2"/>
          <w:sz w:val="30"/>
          <w:szCs w:val="24"/>
          <w:highlight w:val="none"/>
          <w:lang w:val="en-US" w:eastAsia="zh-CN" w:bidi="ar-SA"/>
        </w:rPr>
      </w:pPr>
      <w:bookmarkStart w:id="19" w:name="_Toc68703845"/>
      <w:r>
        <w:rPr>
          <w:rFonts w:hint="eastAsia" w:cs="Times New Roman"/>
          <w:b w:val="0"/>
          <w:bCs w:val="0"/>
          <w:color w:val="auto"/>
          <w:kern w:val="2"/>
          <w:sz w:val="30"/>
          <w:szCs w:val="24"/>
          <w:highlight w:val="none"/>
          <w:lang w:val="en-US" w:eastAsia="zh-CN" w:bidi="ar-SA"/>
        </w:rPr>
        <w:t xml:space="preserve"> 一</w:t>
      </w:r>
      <w:r>
        <w:rPr>
          <w:rFonts w:hint="eastAsia" w:ascii="Times New Roman" w:hAnsi="Times New Roman" w:eastAsia="仿宋_GB2312" w:cs="Times New Roman"/>
          <w:b w:val="0"/>
          <w:bCs w:val="0"/>
          <w:color w:val="auto"/>
          <w:kern w:val="2"/>
          <w:sz w:val="30"/>
          <w:szCs w:val="24"/>
          <w:highlight w:val="none"/>
          <w:lang w:val="en-US" w:eastAsia="zh-CN" w:bidi="ar-SA"/>
        </w:rPr>
        <w:t>是</w:t>
      </w:r>
      <w:r>
        <w:rPr>
          <w:rFonts w:hint="eastAsia" w:cs="Times New Roman"/>
          <w:b w:val="0"/>
          <w:bCs w:val="0"/>
          <w:color w:val="auto"/>
          <w:kern w:val="2"/>
          <w:sz w:val="30"/>
          <w:szCs w:val="24"/>
          <w:highlight w:val="none"/>
          <w:lang w:val="en-US" w:eastAsia="zh-CN" w:bidi="ar-SA"/>
        </w:rPr>
        <w:t>对绩效目标申报不够重视，绩效目标设置量化需进一步提高。</w:t>
      </w:r>
    </w:p>
    <w:p>
      <w:pPr>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cs="Times New Roman"/>
          <w:b w:val="0"/>
          <w:bCs w:val="0"/>
          <w:color w:val="auto"/>
          <w:kern w:val="2"/>
          <w:sz w:val="30"/>
          <w:szCs w:val="24"/>
          <w:highlight w:val="none"/>
          <w:lang w:val="en-US" w:eastAsia="zh-CN" w:bidi="ar-SA"/>
        </w:rPr>
        <w:t>二</w:t>
      </w:r>
      <w:r>
        <w:rPr>
          <w:rFonts w:hint="eastAsia" w:ascii="Times New Roman" w:hAnsi="Times New Roman" w:eastAsia="仿宋_GB2312" w:cs="Times New Roman"/>
          <w:b w:val="0"/>
          <w:bCs w:val="0"/>
          <w:color w:val="auto"/>
          <w:kern w:val="2"/>
          <w:sz w:val="30"/>
          <w:szCs w:val="24"/>
          <w:highlight w:val="none"/>
          <w:lang w:val="en-US" w:eastAsia="zh-CN" w:bidi="ar-SA"/>
        </w:rPr>
        <w:t>是</w:t>
      </w:r>
      <w:r>
        <w:rPr>
          <w:rFonts w:hint="eastAsia" w:cs="Times New Roman"/>
          <w:b w:val="0"/>
          <w:bCs w:val="0"/>
          <w:color w:val="auto"/>
          <w:kern w:val="2"/>
          <w:sz w:val="30"/>
          <w:szCs w:val="24"/>
          <w:highlight w:val="none"/>
          <w:lang w:val="en-US" w:eastAsia="zh-CN" w:bidi="ar-SA"/>
        </w:rPr>
        <w:t>对绩效观念模糊，需</w:t>
      </w:r>
      <w:r>
        <w:rPr>
          <w:rFonts w:hint="eastAsia" w:ascii="Times New Roman" w:hAnsi="Times New Roman" w:eastAsia="仿宋_GB2312" w:cs="Times New Roman"/>
          <w:b w:val="0"/>
          <w:bCs w:val="0"/>
          <w:color w:val="auto"/>
          <w:kern w:val="2"/>
          <w:sz w:val="30"/>
          <w:szCs w:val="24"/>
          <w:highlight w:val="none"/>
          <w:lang w:val="en-US" w:eastAsia="zh-CN" w:bidi="ar-SA"/>
        </w:rPr>
        <w:t>建立健全预算绩效管理制度，提高业务能力水平。</w:t>
      </w:r>
    </w:p>
    <w:p>
      <w:pPr>
        <w:pStyle w:val="2"/>
        <w:rPr>
          <w:rFonts w:hint="default"/>
          <w:lang w:val="en-US" w:eastAsia="zh-CN"/>
        </w:rPr>
      </w:pPr>
      <w:r>
        <w:rPr>
          <w:rFonts w:hint="eastAsia" w:ascii="Times New Roman" w:hAnsi="Times New Roman" w:eastAsia="仿宋_GB2312" w:cs="Times New Roman"/>
          <w:b w:val="0"/>
          <w:bCs w:val="0"/>
          <w:color w:val="auto"/>
          <w:kern w:val="2"/>
          <w:sz w:val="30"/>
          <w:szCs w:val="24"/>
          <w:highlight w:val="none"/>
          <w:lang w:val="en-US" w:eastAsia="zh-CN" w:bidi="ar-SA"/>
        </w:rPr>
        <w:t xml:space="preserve">    三是工作人员业务能力较弱，需增强培训。</w:t>
      </w:r>
    </w:p>
    <w:p>
      <w:pPr>
        <w:pStyle w:val="3"/>
        <w:numPr>
          <w:ilvl w:val="0"/>
          <w:numId w:val="2"/>
        </w:numPr>
        <w:spacing w:line="360" w:lineRule="auto"/>
        <w:rPr>
          <w:rFonts w:hint="eastAsia" w:ascii="宋体" w:hAnsi="宋体" w:eastAsia="宋体"/>
          <w:color w:val="auto"/>
          <w:sz w:val="32"/>
          <w:szCs w:val="32"/>
        </w:rPr>
      </w:pPr>
      <w:r>
        <w:rPr>
          <w:rFonts w:hint="eastAsia" w:ascii="宋体" w:hAnsi="宋体" w:eastAsia="宋体"/>
          <w:color w:val="auto"/>
          <w:sz w:val="32"/>
          <w:szCs w:val="32"/>
        </w:rPr>
        <w:t>有关建议</w:t>
      </w:r>
      <w:bookmarkEnd w:id="19"/>
    </w:p>
    <w:p>
      <w:pPr>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 xml:space="preserve"> </w:t>
      </w:r>
      <w:r>
        <w:rPr>
          <w:rFonts w:hint="eastAsia" w:cs="Times New Roman"/>
          <w:b w:val="0"/>
          <w:bCs w:val="0"/>
          <w:color w:val="auto"/>
          <w:kern w:val="2"/>
          <w:sz w:val="30"/>
          <w:szCs w:val="24"/>
          <w:highlight w:val="none"/>
          <w:lang w:val="en-US" w:eastAsia="zh-CN" w:bidi="ar-SA"/>
        </w:rPr>
        <w:t xml:space="preserve">  </w:t>
      </w:r>
      <w:r>
        <w:rPr>
          <w:rFonts w:hint="eastAsia" w:ascii="Times New Roman" w:hAnsi="Times New Roman" w:eastAsia="仿宋_GB2312" w:cs="Times New Roman"/>
          <w:b w:val="0"/>
          <w:bCs w:val="0"/>
          <w:color w:val="auto"/>
          <w:kern w:val="2"/>
          <w:sz w:val="30"/>
          <w:szCs w:val="24"/>
          <w:highlight w:val="none"/>
          <w:lang w:val="en-US" w:eastAsia="zh-CN" w:bidi="ar-SA"/>
        </w:rPr>
        <w:t>一是合理设置年初绩效目标，严格按资金具体用途将产出数量目标全部量化至三级指标，据此开展绩效监控和绩效自评工作。</w:t>
      </w:r>
    </w:p>
    <w:p>
      <w:pPr>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r>
        <w:rPr>
          <w:rFonts w:hint="eastAsia" w:ascii="Times New Roman" w:hAnsi="Times New Roman" w:eastAsia="仿宋_GB2312" w:cs="Times New Roman"/>
          <w:b w:val="0"/>
          <w:bCs w:val="0"/>
          <w:color w:val="auto"/>
          <w:kern w:val="2"/>
          <w:sz w:val="30"/>
          <w:szCs w:val="24"/>
          <w:highlight w:val="none"/>
          <w:lang w:val="en-US" w:eastAsia="zh-CN" w:bidi="ar-SA"/>
        </w:rPr>
        <w:t>二是坚持专款专用的原则，严格按年初拟定的资金使用计划安排支出，不得随意突破计划、改变计划或进行无计划的支出，以提高财政资金支出的计划性与可控性。</w:t>
      </w:r>
    </w:p>
    <w:p>
      <w:pPr>
        <w:pageBreakBefore w:val="0"/>
        <w:numPr>
          <w:ilvl w:val="0"/>
          <w:numId w:val="0"/>
        </w:numPr>
        <w:kinsoku/>
        <w:wordWrap/>
        <w:overflowPunct/>
        <w:topLinePunct w:val="0"/>
        <w:autoSpaceDE/>
        <w:autoSpaceDN/>
        <w:bidi w:val="0"/>
        <w:adjustRightInd/>
        <w:snapToGrid/>
        <w:spacing w:line="540" w:lineRule="exact"/>
        <w:ind w:firstLine="600" w:firstLineChars="200"/>
        <w:textAlignment w:val="auto"/>
        <w:rPr>
          <w:rFonts w:hint="default" w:eastAsia="仿宋_GB2312"/>
          <w:color w:val="auto"/>
          <w:highlight w:val="yellow"/>
          <w:lang w:val="en-US" w:eastAsia="zh-CN"/>
        </w:rPr>
      </w:pPr>
    </w:p>
    <w:p>
      <w:pPr>
        <w:pStyle w:val="3"/>
        <w:spacing w:line="360" w:lineRule="auto"/>
        <w:rPr>
          <w:rFonts w:ascii="宋体" w:hAnsi="宋体" w:eastAsia="宋体"/>
          <w:color w:val="auto"/>
          <w:sz w:val="32"/>
          <w:szCs w:val="32"/>
        </w:rPr>
      </w:pPr>
      <w:bookmarkStart w:id="20" w:name="_Toc68703846"/>
      <w:r>
        <w:rPr>
          <w:rFonts w:hint="eastAsia" w:ascii="宋体" w:hAnsi="宋体" w:eastAsia="宋体"/>
          <w:color w:val="auto"/>
          <w:sz w:val="32"/>
          <w:szCs w:val="32"/>
        </w:rPr>
        <w:t>七、其他需要说明的问题</w:t>
      </w:r>
      <w:bookmarkEnd w:id="20"/>
    </w:p>
    <w:p>
      <w:pPr>
        <w:spacing w:line="360" w:lineRule="auto"/>
        <w:ind w:firstLine="900" w:firstLineChars="300"/>
        <w:rPr>
          <w:rFonts w:hint="eastAsia" w:eastAsia="仿宋_GB2312"/>
          <w:color w:val="auto"/>
          <w:lang w:eastAsia="zh-CN"/>
        </w:rPr>
      </w:pPr>
      <w:r>
        <w:rPr>
          <w:rFonts w:hint="eastAsia"/>
          <w:color w:val="auto"/>
          <w:lang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auto"/>
    <w:pitch w:val="default"/>
    <w:sig w:usb0="00000000" w:usb1="0000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D36CD"/>
    <w:multiLevelType w:val="singleLevel"/>
    <w:tmpl w:val="000D36CD"/>
    <w:lvl w:ilvl="0" w:tentative="0">
      <w:start w:val="1"/>
      <w:numFmt w:val="decimal"/>
      <w:suff w:val="nothing"/>
      <w:lvlText w:val="%1、"/>
      <w:lvlJc w:val="left"/>
    </w:lvl>
  </w:abstractNum>
  <w:abstractNum w:abstractNumId="1">
    <w:nsid w:val="269A1F0D"/>
    <w:multiLevelType w:val="singleLevel"/>
    <w:tmpl w:val="269A1F0D"/>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lNjVlYWQzODZjZDAyNmMwNWRiY2VjOGNhNDA0YjkifQ=="/>
  </w:docVars>
  <w:rsids>
    <w:rsidRoot w:val="007D49C5"/>
    <w:rsid w:val="002A2FF0"/>
    <w:rsid w:val="005B64E8"/>
    <w:rsid w:val="00614288"/>
    <w:rsid w:val="00792CFE"/>
    <w:rsid w:val="007D49C5"/>
    <w:rsid w:val="008C631D"/>
    <w:rsid w:val="00B24331"/>
    <w:rsid w:val="02A209F3"/>
    <w:rsid w:val="03157E5F"/>
    <w:rsid w:val="04C229AA"/>
    <w:rsid w:val="05202571"/>
    <w:rsid w:val="0DF20149"/>
    <w:rsid w:val="109E71CF"/>
    <w:rsid w:val="12D30D96"/>
    <w:rsid w:val="13781C7A"/>
    <w:rsid w:val="151044D2"/>
    <w:rsid w:val="15873ABE"/>
    <w:rsid w:val="1BD02054"/>
    <w:rsid w:val="1CFA72EA"/>
    <w:rsid w:val="1F287E02"/>
    <w:rsid w:val="24A012C1"/>
    <w:rsid w:val="27855141"/>
    <w:rsid w:val="2CD85262"/>
    <w:rsid w:val="32D85BE7"/>
    <w:rsid w:val="34837587"/>
    <w:rsid w:val="3A507E1F"/>
    <w:rsid w:val="3AD674FC"/>
    <w:rsid w:val="40FE76A9"/>
    <w:rsid w:val="46E64B83"/>
    <w:rsid w:val="4E2C1A52"/>
    <w:rsid w:val="4E5843BB"/>
    <w:rsid w:val="51E75893"/>
    <w:rsid w:val="58AA1201"/>
    <w:rsid w:val="62D65D17"/>
    <w:rsid w:val="64B51871"/>
    <w:rsid w:val="68CA4188"/>
    <w:rsid w:val="6B2335CA"/>
    <w:rsid w:val="70740087"/>
    <w:rsid w:val="740B33A7"/>
    <w:rsid w:val="786747F7"/>
    <w:rsid w:val="78774B27"/>
    <w:rsid w:val="7D401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1">
    <w:name w:val="标题 2 字符"/>
    <w:basedOn w:val="8"/>
    <w:link w:val="2"/>
    <w:qFormat/>
    <w:uiPriority w:val="9"/>
    <w:rPr>
      <w:rFonts w:asciiTheme="majorHAnsi" w:hAnsiTheme="majorHAnsi" w:eastAsiaTheme="majorEastAsia" w:cstheme="majorBidi"/>
      <w:b/>
      <w:bCs/>
      <w:sz w:val="32"/>
      <w:szCs w:val="32"/>
    </w:rPr>
  </w:style>
  <w:style w:type="paragraph" w:customStyle="1" w:styleId="1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5584</Words>
  <Characters>5764</Characters>
  <Lines>38</Lines>
  <Paragraphs>10</Paragraphs>
  <TotalTime>21</TotalTime>
  <ScaleCrop>false</ScaleCrop>
  <LinksUpToDate>false</LinksUpToDate>
  <CharactersWithSpaces>5809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2023-09-06T04:30:05Z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427E4C3EF8824EC6BE057EFAF6746A56</vt:lpwstr>
  </property>
</Properties>
</file>