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新疆伊犁州霍城县财政局</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 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ind w:firstLine="640" w:firstLineChars="200"/>
        <w:rPr>
          <w:rFonts w:ascii="仿宋_GB2312" w:eastAsia="仿宋_GB2312"/>
          <w:sz w:val="32"/>
          <w:szCs w:val="32"/>
        </w:rPr>
      </w:pPr>
      <w:r>
        <w:rPr>
          <w:rFonts w:ascii="仿宋_GB2312" w:eastAsia="仿宋_GB2312"/>
          <w:sz w:val="32"/>
          <w:szCs w:val="32"/>
        </w:rPr>
        <w:t>(一)贯彻执行国家和自治区有关财政、税收方针政策和法律法规，拟订和执行财政、税收发展战略、中长期规划、改革方案及相关政策。拟订乡镇的财政体制和财政分配政策，完善鼓励公益事业发展的财税政策。(二)负责全县财政收支管理工作，承担县级财政收支管理的责任。负责编制年度县级财政预决算草案并组织执行；受县政府委托，向县人民代表大会报告全县和县级预算及其执行情况，向县人大常委会报告决算；组织拟订经费开支标准、定额，负责审核批复部门（单位）的年度预决算。(三)组织制定全县国库管理制度、国库集中收付制度，指导和监督全县国库业务，按规定开展国库现金管理工作。贯彻执行税收法律、法规，协调监督税收政策的执行。拟定全县行政、事业单位财务管理制度和对各种财政资金的管理监督办法。(四)根据相关法律、法规履行出资人职责，加强国有企业管理工作。负责拟定全县行政事业单位国有资产管理制度，拟定需要全县统一规定的资产配置管理办法，管理全县行政事业单位国有资产；负责拟定政府购买服务政策和相关制度；负责拟定政府采购制度并监督管理。(五)负责审核和汇总编制全县国有资本经营预决算草案，制定全县国有资本经营预算的制度和办法，收取县本级企业国有资本收益，组织贯彻实施企业财务制度，管理资产评估工作，拟订并执行政府与企业的分配制度和办法。(六)执行地方政府债务管理制度和政策，拟定具体管理办法。负责管理地方政府债务，加强乡镇债务管理，防范财政风险。研究建立预算绩效评价体系和财政资金绩效管理机制。组织开展财政资金绩效管理和财政支出绩效评价工作。研究分析金融运行情况；指导金融机构服务实体经济。协调组织防范和处置非法集资、防范化解、处置地方金融风险和突发事件。(七)会同有关部门管理财政社会保障和就业及医疗卫生支出，负责全县各项社会保障资金（基金）的财务管理和监督，编制本县社会保障预决算草案。(八)负责管理全县的会计工作，宣传贯彻《会计法》及相关会计制度，组织实施内部控制规范、会计信息化，监督和规范会计行为，组织管理会计人员的业务培训。(九)监督财税法规、政策的执行情况，组织协调重大或专项财政监督检查和会计监督检查工作，依法查处违法违规行为。(十)承办县人民政府交办的其他事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新疆伊犁州霍城县财政局</w:t>
      </w:r>
      <w:r>
        <w:rPr>
          <w:rFonts w:hint="eastAsia" w:ascii="仿宋_GB2312" w:eastAsia="仿宋_GB2312"/>
          <w:sz w:val="32"/>
          <w:szCs w:val="32"/>
        </w:rPr>
        <w:t>2019年度，实有人数</w:t>
      </w:r>
      <w:r>
        <w:rPr>
          <w:rFonts w:ascii="仿宋_GB2312" w:eastAsia="仿宋_GB2312"/>
          <w:sz w:val="32"/>
          <w:szCs w:val="32"/>
        </w:rPr>
        <w:t>52</w:t>
      </w:r>
      <w:r>
        <w:rPr>
          <w:rFonts w:hint="eastAsia" w:ascii="仿宋_GB2312" w:eastAsia="仿宋_GB2312"/>
          <w:sz w:val="32"/>
          <w:szCs w:val="32"/>
        </w:rPr>
        <w:t>人，其中：在职人员</w:t>
      </w:r>
      <w:r>
        <w:rPr>
          <w:rFonts w:ascii="仿宋_GB2312" w:eastAsia="仿宋_GB2312"/>
          <w:sz w:val="32"/>
          <w:szCs w:val="32"/>
        </w:rPr>
        <w:t>52</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新疆伊犁州霍城县财政局</w:t>
      </w:r>
      <w:r>
        <w:rPr>
          <w:rFonts w:hint="eastAsia" w:ascii="仿宋_GB2312" w:eastAsia="仿宋_GB2312"/>
          <w:sz w:val="32"/>
          <w:szCs w:val="32"/>
        </w:rPr>
        <w:t>决算包括：</w:t>
      </w:r>
      <w:r>
        <w:rPr>
          <w:rFonts w:ascii="仿宋_GB2312" w:eastAsia="仿宋_GB2312"/>
          <w:sz w:val="32"/>
          <w:szCs w:val="32"/>
        </w:rPr>
        <w:t>新疆伊犁州霍城县财政局</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1300.64</w:t>
      </w:r>
      <w:r>
        <w:rPr>
          <w:rFonts w:hint="eastAsia" w:ascii="仿宋_GB2312" w:eastAsia="仿宋_GB2312"/>
          <w:sz w:val="32"/>
          <w:szCs w:val="32"/>
        </w:rPr>
        <w:t>万元，与上年相比，增加</w:t>
      </w:r>
      <w:r>
        <w:rPr>
          <w:rFonts w:ascii="仿宋_GB2312" w:eastAsia="仿宋_GB2312"/>
          <w:sz w:val="32"/>
          <w:szCs w:val="32"/>
        </w:rPr>
        <w:t>133.57</w:t>
      </w:r>
      <w:r>
        <w:rPr>
          <w:rFonts w:hint="eastAsia" w:ascii="仿宋_GB2312" w:eastAsia="仿宋_GB2312"/>
          <w:sz w:val="32"/>
          <w:szCs w:val="32"/>
        </w:rPr>
        <w:t>万元，增长</w:t>
      </w:r>
      <w:r>
        <w:rPr>
          <w:rFonts w:ascii="仿宋_GB2312" w:eastAsia="仿宋_GB2312"/>
          <w:sz w:val="32"/>
          <w:szCs w:val="32"/>
        </w:rPr>
        <w:t>11.44</w:t>
      </w:r>
      <w:r>
        <w:rPr>
          <w:rFonts w:hint="eastAsia" w:ascii="仿宋_GB2312" w:eastAsia="仿宋_GB2312"/>
          <w:sz w:val="32"/>
          <w:szCs w:val="32"/>
        </w:rPr>
        <w:t>%，主要原因是：</w:t>
      </w:r>
      <w:r>
        <w:rPr>
          <w:rFonts w:ascii="仿宋_GB2312" w:eastAsia="仿宋_GB2312"/>
          <w:sz w:val="32"/>
          <w:szCs w:val="32"/>
        </w:rPr>
        <w:t>人员工资调整</w:t>
      </w:r>
      <w:r>
        <w:rPr>
          <w:rFonts w:hint="eastAsia" w:ascii="仿宋_GB2312" w:eastAsia="仿宋_GB2312"/>
          <w:sz w:val="32"/>
          <w:szCs w:val="32"/>
        </w:rPr>
        <w:t>。本年支出</w:t>
      </w:r>
      <w:r>
        <w:rPr>
          <w:rFonts w:ascii="仿宋_GB2312" w:eastAsia="仿宋_GB2312"/>
          <w:sz w:val="32"/>
          <w:szCs w:val="32"/>
        </w:rPr>
        <w:t>1053.57</w:t>
      </w:r>
      <w:r>
        <w:rPr>
          <w:rFonts w:hint="eastAsia" w:ascii="仿宋_GB2312" w:eastAsia="仿宋_GB2312"/>
          <w:sz w:val="32"/>
          <w:szCs w:val="32"/>
        </w:rPr>
        <w:t>万元，与上年相比，减少</w:t>
      </w:r>
      <w:r>
        <w:rPr>
          <w:rFonts w:ascii="仿宋_GB2312" w:eastAsia="仿宋_GB2312"/>
          <w:sz w:val="32"/>
          <w:szCs w:val="32"/>
        </w:rPr>
        <w:t>124.76</w:t>
      </w:r>
      <w:r>
        <w:rPr>
          <w:rFonts w:hint="eastAsia" w:ascii="仿宋_GB2312" w:eastAsia="仿宋_GB2312"/>
          <w:sz w:val="32"/>
          <w:szCs w:val="32"/>
        </w:rPr>
        <w:t>万元，</w:t>
      </w:r>
      <w:r>
        <w:rPr>
          <w:rFonts w:ascii="仿宋_GB2312" w:eastAsia="仿宋_GB2312"/>
          <w:sz w:val="32"/>
          <w:szCs w:val="32"/>
        </w:rPr>
        <w:t>减少 10.59</w:t>
      </w:r>
      <w:r>
        <w:rPr>
          <w:rFonts w:hint="eastAsia" w:ascii="仿宋_GB2312" w:eastAsia="仿宋_GB2312"/>
          <w:sz w:val="32"/>
          <w:szCs w:val="32"/>
        </w:rPr>
        <w:t>%，主要原因是：</w:t>
      </w:r>
      <w:r>
        <w:rPr>
          <w:rFonts w:ascii="仿宋_GB2312" w:eastAsia="仿宋_GB2312"/>
          <w:sz w:val="32"/>
          <w:szCs w:val="32"/>
        </w:rPr>
        <w:t>节约日常办公</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1300.64</w:t>
      </w:r>
      <w:r>
        <w:rPr>
          <w:rFonts w:hint="eastAsia" w:ascii="仿宋_GB2312" w:eastAsia="仿宋_GB2312"/>
          <w:sz w:val="32"/>
          <w:szCs w:val="32"/>
        </w:rPr>
        <w:t>万元，其中：财政拨款收入</w:t>
      </w:r>
      <w:r>
        <w:rPr>
          <w:rFonts w:ascii="仿宋_GB2312" w:eastAsia="仿宋_GB2312"/>
          <w:sz w:val="32"/>
          <w:szCs w:val="32"/>
        </w:rPr>
        <w:t>1211.45</w:t>
      </w:r>
      <w:r>
        <w:rPr>
          <w:rFonts w:hint="eastAsia" w:ascii="仿宋_GB2312" w:eastAsia="仿宋_GB2312"/>
          <w:sz w:val="32"/>
          <w:szCs w:val="32"/>
        </w:rPr>
        <w:t>万元，占</w:t>
      </w:r>
      <w:r>
        <w:rPr>
          <w:rFonts w:ascii="仿宋_GB2312" w:eastAsia="仿宋_GB2312"/>
          <w:sz w:val="32"/>
          <w:szCs w:val="32"/>
        </w:rPr>
        <w:t>93.14</w:t>
      </w:r>
      <w:r>
        <w:rPr>
          <w:rFonts w:hint="eastAsia" w:ascii="仿宋_GB2312" w:eastAsia="仿宋_GB2312"/>
          <w:sz w:val="32"/>
          <w:szCs w:val="32"/>
        </w:rPr>
        <w:t xml:space="preserve"> %；上级补助收入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89.18</w:t>
      </w:r>
      <w:r>
        <w:rPr>
          <w:rFonts w:hint="eastAsia" w:ascii="仿宋_GB2312" w:eastAsia="仿宋_GB2312"/>
          <w:sz w:val="32"/>
          <w:szCs w:val="32"/>
        </w:rPr>
        <w:t>万元，占</w:t>
      </w:r>
      <w:r>
        <w:rPr>
          <w:rFonts w:ascii="仿宋_GB2312" w:eastAsia="仿宋_GB2312"/>
          <w:sz w:val="32"/>
          <w:szCs w:val="32"/>
        </w:rPr>
        <w:t>6.86</w:t>
      </w:r>
      <w:r>
        <w:rPr>
          <w:rFonts w:hint="eastAsia" w:ascii="仿宋_GB2312" w:eastAsia="仿宋_GB2312"/>
          <w:sz w:val="32"/>
          <w:szCs w:val="32"/>
        </w:rPr>
        <w:t xml:space="preserve"> %。</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1053.57</w:t>
      </w:r>
      <w:r>
        <w:rPr>
          <w:rFonts w:hint="eastAsia" w:ascii="仿宋_GB2312" w:eastAsia="仿宋_GB2312"/>
          <w:sz w:val="32"/>
          <w:szCs w:val="32"/>
        </w:rPr>
        <w:t>万元，其中：基本支出</w:t>
      </w:r>
      <w:r>
        <w:rPr>
          <w:rFonts w:ascii="仿宋_GB2312" w:eastAsia="仿宋_GB2312"/>
          <w:sz w:val="32"/>
          <w:szCs w:val="32"/>
        </w:rPr>
        <w:t>1053.57</w:t>
      </w:r>
      <w:r>
        <w:rPr>
          <w:rFonts w:hint="eastAsia" w:ascii="仿宋_GB2312" w:eastAsia="仿宋_GB2312"/>
          <w:sz w:val="32"/>
          <w:szCs w:val="32"/>
        </w:rPr>
        <w:t>万元，占</w:t>
      </w:r>
      <w:r>
        <w:rPr>
          <w:rFonts w:ascii="仿宋_GB2312" w:eastAsia="仿宋_GB2312"/>
          <w:sz w:val="32"/>
          <w:szCs w:val="32"/>
        </w:rPr>
        <w:t>100</w:t>
      </w:r>
      <w:r>
        <w:rPr>
          <w:rFonts w:hint="eastAsia" w:ascii="仿宋_GB2312" w:eastAsia="仿宋_GB2312"/>
          <w:sz w:val="32"/>
          <w:szCs w:val="32"/>
        </w:rPr>
        <w:t>%；项目支出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1211.45</w:t>
      </w:r>
      <w:r>
        <w:rPr>
          <w:rFonts w:hint="eastAsia" w:ascii="仿宋_GB2312" w:eastAsia="仿宋_GB2312"/>
          <w:sz w:val="32"/>
          <w:szCs w:val="32"/>
        </w:rPr>
        <w:t>万元，与上年相比，</w:t>
      </w:r>
      <w:r>
        <w:rPr>
          <w:rFonts w:ascii="仿宋_GB2312" w:eastAsia="仿宋_GB2312"/>
          <w:sz w:val="32"/>
          <w:szCs w:val="32"/>
        </w:rPr>
        <w:t xml:space="preserve"> </w:t>
      </w:r>
      <w:r>
        <w:rPr>
          <w:rFonts w:hint="eastAsia" w:ascii="仿宋_GB2312" w:eastAsia="仿宋_GB2312"/>
          <w:sz w:val="32"/>
          <w:szCs w:val="32"/>
        </w:rPr>
        <w:t>增加</w:t>
      </w:r>
      <w:r>
        <w:rPr>
          <w:rFonts w:ascii="仿宋_GB2312" w:eastAsia="仿宋_GB2312"/>
          <w:sz w:val="32"/>
          <w:szCs w:val="32"/>
        </w:rPr>
        <w:t>240.06</w:t>
      </w:r>
      <w:r>
        <w:rPr>
          <w:rFonts w:hint="eastAsia" w:ascii="仿宋_GB2312" w:eastAsia="仿宋_GB2312"/>
          <w:sz w:val="32"/>
          <w:szCs w:val="32"/>
        </w:rPr>
        <w:t>万元，增长</w:t>
      </w:r>
      <w:r>
        <w:rPr>
          <w:rFonts w:ascii="仿宋_GB2312" w:eastAsia="仿宋_GB2312"/>
          <w:sz w:val="32"/>
          <w:szCs w:val="32"/>
        </w:rPr>
        <w:t>24.71</w:t>
      </w:r>
      <w:r>
        <w:rPr>
          <w:rFonts w:hint="eastAsia" w:ascii="仿宋_GB2312" w:eastAsia="仿宋_GB2312"/>
          <w:sz w:val="32"/>
          <w:szCs w:val="32"/>
        </w:rPr>
        <w:t>%。主要原因是：</w:t>
      </w:r>
      <w:r>
        <w:rPr>
          <w:rFonts w:ascii="仿宋_GB2312" w:eastAsia="仿宋_GB2312"/>
          <w:sz w:val="32"/>
          <w:szCs w:val="32"/>
        </w:rPr>
        <w:t>人员工资调整</w:t>
      </w:r>
      <w:r>
        <w:rPr>
          <w:rFonts w:hint="eastAsia" w:ascii="仿宋_GB2312" w:eastAsia="仿宋_GB2312"/>
          <w:sz w:val="32"/>
          <w:szCs w:val="32"/>
        </w:rPr>
        <w:t>。财政拨款支出</w:t>
      </w:r>
      <w:r>
        <w:rPr>
          <w:rFonts w:ascii="仿宋_GB2312" w:eastAsia="仿宋_GB2312"/>
          <w:sz w:val="32"/>
          <w:szCs w:val="32"/>
        </w:rPr>
        <w:t>1031.48</w:t>
      </w:r>
      <w:r>
        <w:rPr>
          <w:rFonts w:hint="eastAsia" w:ascii="仿宋_GB2312" w:eastAsia="仿宋_GB2312"/>
          <w:sz w:val="32"/>
          <w:szCs w:val="32"/>
        </w:rPr>
        <w:t>万元，与上年相比，增加</w:t>
      </w:r>
      <w:r>
        <w:rPr>
          <w:rFonts w:ascii="仿宋_GB2312" w:eastAsia="仿宋_GB2312"/>
          <w:sz w:val="32"/>
          <w:szCs w:val="32"/>
        </w:rPr>
        <w:t>52.58</w:t>
      </w:r>
      <w:r>
        <w:rPr>
          <w:rFonts w:hint="eastAsia" w:ascii="仿宋_GB2312" w:eastAsia="仿宋_GB2312"/>
          <w:sz w:val="32"/>
          <w:szCs w:val="32"/>
        </w:rPr>
        <w:t>万元，增长</w:t>
      </w:r>
      <w:r>
        <w:rPr>
          <w:rFonts w:ascii="仿宋_GB2312" w:eastAsia="仿宋_GB2312"/>
          <w:sz w:val="32"/>
          <w:szCs w:val="32"/>
        </w:rPr>
        <w:t>5.37</w:t>
      </w:r>
      <w:r>
        <w:rPr>
          <w:rFonts w:hint="eastAsia" w:ascii="仿宋_GB2312" w:eastAsia="仿宋_GB2312"/>
          <w:sz w:val="32"/>
          <w:szCs w:val="32"/>
        </w:rPr>
        <w:t>%，主要原因是：</w:t>
      </w:r>
      <w:r>
        <w:rPr>
          <w:rFonts w:ascii="仿宋_GB2312" w:eastAsia="仿宋_GB2312"/>
          <w:sz w:val="32"/>
          <w:szCs w:val="32"/>
        </w:rPr>
        <w:t>人员工资调整</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918.23</w:t>
      </w:r>
      <w:r>
        <w:rPr>
          <w:rFonts w:hint="eastAsia" w:ascii="仿宋_GB2312" w:eastAsia="仿宋_GB2312"/>
          <w:sz w:val="32"/>
          <w:szCs w:val="32"/>
        </w:rPr>
        <w:t>万元，决算数</w:t>
      </w:r>
      <w:r>
        <w:rPr>
          <w:rFonts w:ascii="仿宋_GB2312" w:eastAsia="仿宋_GB2312"/>
          <w:sz w:val="32"/>
          <w:szCs w:val="32"/>
        </w:rPr>
        <w:t>1211.45</w:t>
      </w:r>
      <w:r>
        <w:rPr>
          <w:rFonts w:hint="eastAsia" w:ascii="仿宋_GB2312" w:eastAsia="仿宋_GB2312"/>
          <w:sz w:val="32"/>
          <w:szCs w:val="32"/>
        </w:rPr>
        <w:t>万元，预决算差异率</w:t>
      </w:r>
      <w:r>
        <w:rPr>
          <w:rFonts w:ascii="仿宋_GB2312" w:eastAsia="仿宋_GB2312"/>
          <w:sz w:val="32"/>
          <w:szCs w:val="32"/>
        </w:rPr>
        <w:t>31.93</w:t>
      </w:r>
      <w:r>
        <w:rPr>
          <w:rFonts w:hint="eastAsia" w:ascii="仿宋_GB2312" w:eastAsia="仿宋_GB2312"/>
          <w:sz w:val="32"/>
          <w:szCs w:val="32"/>
        </w:rPr>
        <w:t>%，主要原因是：</w:t>
      </w:r>
      <w:r>
        <w:rPr>
          <w:rFonts w:ascii="仿宋_GB2312" w:eastAsia="仿宋_GB2312"/>
          <w:sz w:val="32"/>
          <w:szCs w:val="32"/>
        </w:rPr>
        <w:t>人员工资调整</w:t>
      </w:r>
      <w:r>
        <w:rPr>
          <w:rFonts w:hint="eastAsia" w:ascii="仿宋_GB2312" w:eastAsia="仿宋_GB2312"/>
          <w:sz w:val="32"/>
          <w:szCs w:val="32"/>
        </w:rPr>
        <w:t xml:space="preserve"> 。财政拨款支出年初预算数</w:t>
      </w:r>
      <w:r>
        <w:rPr>
          <w:rFonts w:ascii="仿宋_GB2312" w:eastAsia="仿宋_GB2312"/>
          <w:sz w:val="32"/>
          <w:szCs w:val="32"/>
        </w:rPr>
        <w:t>918.23</w:t>
      </w:r>
      <w:r>
        <w:rPr>
          <w:rFonts w:hint="eastAsia" w:ascii="仿宋_GB2312" w:eastAsia="仿宋_GB2312"/>
          <w:sz w:val="32"/>
          <w:szCs w:val="32"/>
        </w:rPr>
        <w:t>万元，决算数</w:t>
      </w:r>
      <w:r>
        <w:rPr>
          <w:rFonts w:ascii="仿宋_GB2312" w:eastAsia="仿宋_GB2312"/>
          <w:sz w:val="32"/>
          <w:szCs w:val="32"/>
        </w:rPr>
        <w:t>1031.48</w:t>
      </w:r>
      <w:r>
        <w:rPr>
          <w:rFonts w:hint="eastAsia" w:ascii="仿宋_GB2312" w:eastAsia="仿宋_GB2312"/>
          <w:sz w:val="32"/>
          <w:szCs w:val="32"/>
        </w:rPr>
        <w:t>万元，预决算差异率</w:t>
      </w:r>
      <w:r>
        <w:rPr>
          <w:rFonts w:ascii="仿宋_GB2312" w:eastAsia="仿宋_GB2312"/>
          <w:sz w:val="32"/>
          <w:szCs w:val="32"/>
        </w:rPr>
        <w:t>12.33</w:t>
      </w:r>
      <w:r>
        <w:rPr>
          <w:rFonts w:hint="eastAsia" w:ascii="仿宋_GB2312" w:eastAsia="仿宋_GB2312"/>
          <w:sz w:val="32"/>
          <w:szCs w:val="32"/>
        </w:rPr>
        <w:t>%，主要原因是：</w:t>
      </w:r>
      <w:r>
        <w:rPr>
          <w:rFonts w:ascii="仿宋_GB2312" w:eastAsia="仿宋_GB2312"/>
          <w:sz w:val="32"/>
          <w:szCs w:val="32"/>
        </w:rPr>
        <w:t>人员工资调整</w:t>
      </w:r>
      <w:r>
        <w:rPr>
          <w:rFonts w:hint="eastAsia" w:ascii="仿宋_GB2312" w:eastAsia="仿宋_GB2312"/>
          <w:sz w:val="32"/>
          <w:szCs w:val="32"/>
        </w:rPr>
        <w:t xml:space="preserve"> 。</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1031.48</w:t>
      </w:r>
      <w:r>
        <w:rPr>
          <w:rFonts w:hint="eastAsia" w:ascii="仿宋_GB2312" w:eastAsia="仿宋_GB2312"/>
          <w:sz w:val="32"/>
          <w:szCs w:val="32"/>
        </w:rPr>
        <w:t>万元。按功能分类科目项级科目公开，其中：</w:t>
      </w:r>
    </w:p>
    <w:p>
      <w:pPr>
        <w:ind w:firstLine="640" w:firstLineChars="200"/>
        <w:rPr>
          <w:rFonts w:ascii="仿宋_GB2312" w:eastAsia="仿宋_GB2312"/>
          <w:sz w:val="32"/>
          <w:szCs w:val="32"/>
        </w:rPr>
      </w:pPr>
      <w:r>
        <w:rPr>
          <w:rFonts w:hint="eastAsia" w:ascii="仿宋_GB2312" w:eastAsia="仿宋_GB2312"/>
          <w:sz w:val="32"/>
          <w:szCs w:val="32"/>
        </w:rPr>
        <w:t>2010601行政运行231.46万元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2010608财政委托业务支出44.05万元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2010650事业运行246.15万元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2010699其他财政事务支出321.21万元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2060402应用技术研究与开发12.00万元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2080501归口管理的行政单位离退休3.28万元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2080505机关事业单位基本养老保险缴费支出70.09万元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2080506机关事业单位职业年金缴费支出13.02万元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2080799其他就业补助支出4.53万元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2101101行政单位医疗</w:t>
      </w:r>
      <w:r>
        <w:rPr>
          <w:rFonts w:hint="eastAsia" w:ascii="仿宋_GB2312" w:eastAsia="仿宋_GB2312"/>
          <w:sz w:val="32"/>
          <w:szCs w:val="32"/>
        </w:rPr>
        <w:tab/>
      </w:r>
      <w:r>
        <w:rPr>
          <w:rFonts w:hint="eastAsia" w:ascii="仿宋_GB2312" w:eastAsia="仿宋_GB2312"/>
          <w:sz w:val="32"/>
          <w:szCs w:val="32"/>
        </w:rPr>
        <w:t>24.72万元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2101102事业单位医疗</w:t>
      </w:r>
      <w:r>
        <w:rPr>
          <w:rFonts w:hint="eastAsia" w:ascii="仿宋_GB2312" w:eastAsia="仿宋_GB2312"/>
          <w:sz w:val="32"/>
          <w:szCs w:val="32"/>
        </w:rPr>
        <w:tab/>
      </w:r>
      <w:r>
        <w:rPr>
          <w:rFonts w:hint="eastAsia" w:ascii="仿宋_GB2312" w:eastAsia="仿宋_GB2312"/>
          <w:sz w:val="32"/>
          <w:szCs w:val="32"/>
        </w:rPr>
        <w:t>16.10万元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2210201住房公积金44.87万元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1031.48</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682.22</w:t>
      </w:r>
      <w:r>
        <w:rPr>
          <w:rFonts w:hint="eastAsia" w:ascii="仿宋_GB2312" w:eastAsia="仿宋_GB2312"/>
          <w:sz w:val="32"/>
          <w:szCs w:val="32"/>
        </w:rPr>
        <w:t>万元，包括：基本工资，津贴补贴，奖金，伙食补助费，绩效工资，机关事业单位基本养老保险缴费，职业年金缴费，职工基本养老保险缴费，其他社会保险缴费，住房公积金，医疗费，其他工资福利支出，退休费，生活补助，</w:t>
      </w:r>
      <w:r>
        <w:rPr>
          <w:rFonts w:ascii="仿宋_GB2312" w:eastAsia="仿宋_GB2312"/>
          <w:sz w:val="32"/>
          <w:szCs w:val="32"/>
        </w:rPr>
        <w:t xml:space="preserve"> </w:t>
      </w:r>
      <w:r>
        <w:rPr>
          <w:rFonts w:hint="eastAsia" w:ascii="仿宋_GB2312" w:eastAsia="仿宋_GB2312"/>
          <w:sz w:val="32"/>
          <w:szCs w:val="32"/>
        </w:rPr>
        <w:t>奖励金，其他对个人和家庭的补助。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349.26</w:t>
      </w:r>
      <w:r>
        <w:rPr>
          <w:rFonts w:hint="eastAsia" w:ascii="仿宋_GB2312" w:eastAsia="仿宋_GB2312"/>
          <w:sz w:val="32"/>
          <w:szCs w:val="32"/>
        </w:rPr>
        <w:t>万元，包括：办公费，印刷费，咨询费，手续费，电费，邮电费，取暖费，物业管理费，差旅费，维修（护）费，培训费，公务接待费，劳务费，委托业务费，工会经费，福利费，公务车运行维护费，税金及附加费用，其他商品和服务支出。</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hint="eastAsia"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14.68</w:t>
      </w:r>
      <w:r>
        <w:rPr>
          <w:rFonts w:hint="eastAsia" w:ascii="仿宋_GB2312" w:eastAsia="仿宋_GB2312"/>
          <w:sz w:val="32"/>
          <w:szCs w:val="32"/>
        </w:rPr>
        <w:t>万元，比上年减少</w:t>
      </w:r>
      <w:r>
        <w:rPr>
          <w:rFonts w:ascii="仿宋_GB2312" w:eastAsia="仿宋_GB2312"/>
          <w:sz w:val="32"/>
          <w:szCs w:val="32"/>
        </w:rPr>
        <w:t>10.94</w:t>
      </w:r>
      <w:r>
        <w:rPr>
          <w:rFonts w:hint="eastAsia" w:ascii="仿宋_GB2312" w:eastAsia="仿宋_GB2312"/>
          <w:sz w:val="32"/>
          <w:szCs w:val="32"/>
        </w:rPr>
        <w:t>万元，降低</w:t>
      </w:r>
      <w:r>
        <w:rPr>
          <w:rFonts w:ascii="仿宋_GB2312" w:eastAsia="仿宋_GB2312"/>
          <w:sz w:val="32"/>
          <w:szCs w:val="32"/>
        </w:rPr>
        <w:t>42.69</w:t>
      </w:r>
      <w:r>
        <w:rPr>
          <w:rFonts w:hint="eastAsia" w:ascii="仿宋_GB2312" w:eastAsia="仿宋_GB2312"/>
          <w:sz w:val="32"/>
          <w:szCs w:val="32"/>
        </w:rPr>
        <w:t>%，主要原因是：</w:t>
      </w:r>
      <w:r>
        <w:rPr>
          <w:rFonts w:ascii="仿宋_GB2312" w:eastAsia="仿宋_GB2312"/>
          <w:sz w:val="32"/>
          <w:szCs w:val="32"/>
        </w:rPr>
        <w:t>没有新增车辆及减少接待</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%，主要原因是：无此项开支；公务用车购置及运行维护费支出</w:t>
      </w:r>
      <w:r>
        <w:rPr>
          <w:rFonts w:ascii="仿宋_GB2312" w:eastAsia="仿宋_GB2312"/>
          <w:sz w:val="32"/>
          <w:szCs w:val="32"/>
        </w:rPr>
        <w:t>12.05</w:t>
      </w:r>
      <w:r>
        <w:rPr>
          <w:rFonts w:hint="eastAsia" w:ascii="仿宋_GB2312" w:eastAsia="仿宋_GB2312"/>
          <w:sz w:val="32"/>
          <w:szCs w:val="32"/>
        </w:rPr>
        <w:t>万元，占</w:t>
      </w:r>
      <w:r>
        <w:rPr>
          <w:rFonts w:ascii="仿宋_GB2312" w:eastAsia="仿宋_GB2312"/>
          <w:sz w:val="32"/>
          <w:szCs w:val="32"/>
        </w:rPr>
        <w:t>82.06</w:t>
      </w:r>
      <w:r>
        <w:rPr>
          <w:rFonts w:hint="eastAsia" w:ascii="仿宋_GB2312" w:eastAsia="仿宋_GB2312"/>
          <w:sz w:val="32"/>
          <w:szCs w:val="32"/>
        </w:rPr>
        <w:t>%，比上年减少</w:t>
      </w:r>
      <w:r>
        <w:rPr>
          <w:rFonts w:ascii="仿宋_GB2312" w:eastAsia="仿宋_GB2312"/>
          <w:sz w:val="32"/>
          <w:szCs w:val="32"/>
        </w:rPr>
        <w:t>10.74</w:t>
      </w:r>
      <w:r>
        <w:rPr>
          <w:rFonts w:hint="eastAsia" w:ascii="仿宋_GB2312" w:eastAsia="仿宋_GB2312"/>
          <w:sz w:val="32"/>
          <w:szCs w:val="32"/>
        </w:rPr>
        <w:t>万元，降低</w:t>
      </w:r>
      <w:r>
        <w:rPr>
          <w:rFonts w:ascii="仿宋_GB2312" w:eastAsia="仿宋_GB2312"/>
          <w:sz w:val="32"/>
          <w:szCs w:val="32"/>
        </w:rPr>
        <w:t xml:space="preserve"> 47.13</w:t>
      </w:r>
      <w:r>
        <w:rPr>
          <w:rFonts w:hint="eastAsia" w:ascii="仿宋_GB2312" w:eastAsia="仿宋_GB2312"/>
          <w:sz w:val="32"/>
          <w:szCs w:val="32"/>
        </w:rPr>
        <w:t>%，主要原因是：</w:t>
      </w:r>
      <w:r>
        <w:rPr>
          <w:rFonts w:ascii="仿宋_GB2312" w:eastAsia="仿宋_GB2312"/>
          <w:sz w:val="32"/>
          <w:szCs w:val="32"/>
        </w:rPr>
        <w:t>没有新增车辆</w:t>
      </w:r>
      <w:r>
        <w:rPr>
          <w:rFonts w:hint="eastAsia" w:ascii="仿宋_GB2312" w:eastAsia="仿宋_GB2312"/>
          <w:sz w:val="32"/>
          <w:szCs w:val="32"/>
        </w:rPr>
        <w:t>。公务接待费支出</w:t>
      </w:r>
      <w:r>
        <w:rPr>
          <w:rFonts w:ascii="仿宋_GB2312" w:eastAsia="仿宋_GB2312"/>
          <w:sz w:val="32"/>
          <w:szCs w:val="32"/>
        </w:rPr>
        <w:t>2.63</w:t>
      </w:r>
      <w:r>
        <w:rPr>
          <w:rFonts w:hint="eastAsia" w:ascii="仿宋_GB2312" w:eastAsia="仿宋_GB2312"/>
          <w:sz w:val="32"/>
          <w:szCs w:val="32"/>
        </w:rPr>
        <w:t>万元，占</w:t>
      </w:r>
      <w:r>
        <w:rPr>
          <w:rFonts w:ascii="仿宋_GB2312" w:eastAsia="仿宋_GB2312"/>
          <w:sz w:val="32"/>
          <w:szCs w:val="32"/>
        </w:rPr>
        <w:t>17.94</w:t>
      </w:r>
      <w:r>
        <w:rPr>
          <w:rFonts w:hint="eastAsia" w:ascii="仿宋_GB2312" w:eastAsia="仿宋_GB2312"/>
          <w:sz w:val="32"/>
          <w:szCs w:val="32"/>
        </w:rPr>
        <w:t>%，比上年降低</w:t>
      </w:r>
      <w:r>
        <w:rPr>
          <w:rFonts w:ascii="仿宋_GB2312" w:eastAsia="仿宋_GB2312"/>
          <w:sz w:val="32"/>
          <w:szCs w:val="32"/>
        </w:rPr>
        <w:t>0.2</w:t>
      </w:r>
      <w:r>
        <w:rPr>
          <w:rFonts w:hint="eastAsia" w:ascii="仿宋_GB2312" w:eastAsia="仿宋_GB2312"/>
          <w:sz w:val="32"/>
          <w:szCs w:val="32"/>
        </w:rPr>
        <w:t>万元，降低</w:t>
      </w:r>
      <w:r>
        <w:rPr>
          <w:rFonts w:ascii="仿宋_GB2312" w:eastAsia="仿宋_GB2312"/>
          <w:sz w:val="32"/>
          <w:szCs w:val="32"/>
        </w:rPr>
        <w:t>6.92</w:t>
      </w:r>
      <w:r>
        <w:rPr>
          <w:rFonts w:hint="eastAsia" w:ascii="仿宋_GB2312" w:eastAsia="仿宋_GB2312"/>
          <w:sz w:val="32"/>
          <w:szCs w:val="32"/>
        </w:rPr>
        <w:t>%，主要原因是：</w:t>
      </w:r>
      <w:r>
        <w:rPr>
          <w:rFonts w:hint="eastAsia" w:ascii="仿宋_GB2312" w:hAnsi="Calibri" w:eastAsia="仿宋_GB2312" w:cs="Times New Roman"/>
          <w:sz w:val="32"/>
          <w:szCs w:val="32"/>
          <w:lang w:val="en-US" w:eastAsia="zh-CN"/>
        </w:rPr>
        <w:t>压缩支出，减少经费</w:t>
      </w: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 xml:space="preserve"> 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12.05</w:t>
      </w:r>
      <w:r>
        <w:rPr>
          <w:rFonts w:hint="eastAsia" w:ascii="仿宋_GB2312" w:eastAsia="仿宋_GB2312"/>
          <w:sz w:val="32"/>
          <w:szCs w:val="32"/>
        </w:rPr>
        <w:t>万元，其中，公务用车购置费</w:t>
      </w:r>
      <w:r>
        <w:rPr>
          <w:rFonts w:ascii="仿宋_GB2312" w:eastAsia="仿宋_GB2312"/>
          <w:sz w:val="32"/>
          <w:szCs w:val="32"/>
        </w:rPr>
        <w:t>0</w:t>
      </w:r>
      <w:r>
        <w:rPr>
          <w:rFonts w:hint="eastAsia" w:ascii="仿宋_GB2312" w:eastAsia="仿宋_GB2312"/>
          <w:sz w:val="32"/>
          <w:szCs w:val="32"/>
        </w:rPr>
        <w:t>万元，公务用车运行维护费</w:t>
      </w:r>
      <w:r>
        <w:rPr>
          <w:rFonts w:ascii="仿宋_GB2312" w:eastAsia="仿宋_GB2312"/>
          <w:sz w:val="32"/>
          <w:szCs w:val="32"/>
        </w:rPr>
        <w:t>12.05</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0</w:t>
      </w:r>
      <w:r>
        <w:rPr>
          <w:rFonts w:hint="eastAsia" w:ascii="仿宋_GB2312" w:eastAsia="仿宋_GB2312"/>
          <w:sz w:val="32"/>
          <w:szCs w:val="32"/>
        </w:rPr>
        <w:t>辆，公务用车保有量</w:t>
      </w:r>
      <w:r>
        <w:rPr>
          <w:rFonts w:ascii="仿宋_GB2312" w:eastAsia="仿宋_GB2312"/>
          <w:sz w:val="32"/>
          <w:szCs w:val="32"/>
        </w:rPr>
        <w:t>3</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2.63</w:t>
      </w:r>
      <w:r>
        <w:rPr>
          <w:rFonts w:hint="eastAsia" w:ascii="仿宋_GB2312" w:eastAsia="仿宋_GB2312"/>
          <w:sz w:val="32"/>
          <w:szCs w:val="32"/>
        </w:rPr>
        <w:t>万元，开支内容包括：接待就餐费。单位全年安排的国内公务接待</w:t>
      </w:r>
      <w:r>
        <w:rPr>
          <w:rFonts w:ascii="仿宋_GB2312" w:eastAsia="仿宋_GB2312"/>
          <w:sz w:val="32"/>
          <w:szCs w:val="32"/>
        </w:rPr>
        <w:t>27</w:t>
      </w:r>
      <w:r>
        <w:rPr>
          <w:rFonts w:hint="eastAsia" w:ascii="仿宋_GB2312" w:eastAsia="仿宋_GB2312"/>
          <w:sz w:val="32"/>
          <w:szCs w:val="32"/>
        </w:rPr>
        <w:t>批次，</w:t>
      </w:r>
      <w:r>
        <w:rPr>
          <w:rFonts w:ascii="仿宋_GB2312" w:eastAsia="仿宋_GB2312"/>
          <w:sz w:val="32"/>
          <w:szCs w:val="32"/>
        </w:rPr>
        <w:t>540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16</w:t>
      </w:r>
      <w:r>
        <w:rPr>
          <w:rFonts w:hint="eastAsia" w:ascii="仿宋_GB2312" w:eastAsia="仿宋_GB2312"/>
          <w:sz w:val="32"/>
          <w:szCs w:val="32"/>
        </w:rPr>
        <w:t>万元，决算数</w:t>
      </w:r>
      <w:r>
        <w:rPr>
          <w:rFonts w:ascii="仿宋_GB2312" w:eastAsia="仿宋_GB2312"/>
          <w:sz w:val="32"/>
          <w:szCs w:val="32"/>
        </w:rPr>
        <w:t>14.68</w:t>
      </w:r>
      <w:r>
        <w:rPr>
          <w:rFonts w:hint="eastAsia" w:ascii="仿宋_GB2312" w:eastAsia="仿宋_GB2312"/>
          <w:sz w:val="32"/>
          <w:szCs w:val="32"/>
        </w:rPr>
        <w:t>万元，预决算差异率</w:t>
      </w:r>
      <w:r>
        <w:rPr>
          <w:rFonts w:ascii="仿宋_GB2312" w:eastAsia="仿宋_GB2312"/>
          <w:sz w:val="32"/>
          <w:szCs w:val="32"/>
        </w:rPr>
        <w:t>-8.24</w:t>
      </w:r>
      <w:r>
        <w:rPr>
          <w:rFonts w:hint="eastAsia" w:ascii="仿宋_GB2312" w:eastAsia="仿宋_GB2312"/>
          <w:sz w:val="32"/>
          <w:szCs w:val="32"/>
        </w:rPr>
        <w:t>%，主要原因是：</w:t>
      </w:r>
      <w:r>
        <w:rPr>
          <w:rFonts w:ascii="仿宋_GB2312" w:eastAsia="仿宋_GB2312"/>
          <w:sz w:val="32"/>
          <w:szCs w:val="32"/>
        </w:rPr>
        <w:t>没有新增车辆及减少接待</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0</w:t>
      </w:r>
      <w:r>
        <w:rPr>
          <w:rFonts w:hint="eastAsia" w:ascii="仿宋_GB2312" w:eastAsia="仿宋_GB2312"/>
          <w:sz w:val="32"/>
          <w:szCs w:val="32"/>
        </w:rPr>
        <w:t>万元，决算数</w:t>
      </w:r>
      <w:r>
        <w:rPr>
          <w:rFonts w:ascii="仿宋_GB2312" w:eastAsia="仿宋_GB2312"/>
          <w:sz w:val="32"/>
          <w:szCs w:val="32"/>
        </w:rPr>
        <w:t>0</w:t>
      </w:r>
      <w:r>
        <w:rPr>
          <w:rFonts w:hint="eastAsia" w:ascii="仿宋_GB2312" w:eastAsia="仿宋_GB2312"/>
          <w:sz w:val="32"/>
          <w:szCs w:val="32"/>
        </w:rPr>
        <w:t>万元，预决算差异率</w:t>
      </w:r>
      <w:r>
        <w:rPr>
          <w:rFonts w:ascii="仿宋_GB2312" w:eastAsia="仿宋_GB2312"/>
          <w:sz w:val="32"/>
          <w:szCs w:val="32"/>
        </w:rPr>
        <w:t>0</w:t>
      </w:r>
      <w:r>
        <w:rPr>
          <w:rFonts w:hint="eastAsia" w:ascii="仿宋_GB2312" w:eastAsia="仿宋_GB2312"/>
          <w:sz w:val="32"/>
          <w:szCs w:val="32"/>
        </w:rPr>
        <w:t>%，主要原因是：无此项开支；</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13</w:t>
      </w:r>
      <w:r>
        <w:rPr>
          <w:rFonts w:hint="eastAsia" w:ascii="仿宋_GB2312" w:eastAsia="仿宋_GB2312"/>
          <w:sz w:val="32"/>
          <w:szCs w:val="32"/>
        </w:rPr>
        <w:t>万元，决算数</w:t>
      </w:r>
      <w:r>
        <w:rPr>
          <w:rFonts w:ascii="仿宋_GB2312" w:eastAsia="仿宋_GB2312"/>
          <w:sz w:val="32"/>
          <w:szCs w:val="32"/>
        </w:rPr>
        <w:t>12.05</w:t>
      </w:r>
      <w:r>
        <w:rPr>
          <w:rFonts w:hint="eastAsia" w:ascii="仿宋_GB2312" w:eastAsia="仿宋_GB2312"/>
          <w:sz w:val="32"/>
          <w:szCs w:val="32"/>
        </w:rPr>
        <w:t>万元，预决算差异率</w:t>
      </w:r>
      <w:r>
        <w:rPr>
          <w:rFonts w:ascii="仿宋_GB2312" w:eastAsia="仿宋_GB2312"/>
          <w:sz w:val="32"/>
          <w:szCs w:val="32"/>
        </w:rPr>
        <w:t>-7.32</w:t>
      </w:r>
      <w:r>
        <w:rPr>
          <w:rFonts w:hint="eastAsia" w:ascii="仿宋_GB2312" w:eastAsia="仿宋_GB2312"/>
          <w:sz w:val="32"/>
          <w:szCs w:val="32"/>
        </w:rPr>
        <w:t>%，主要原因是：</w:t>
      </w:r>
      <w:r>
        <w:rPr>
          <w:rFonts w:hint="eastAsia" w:ascii="仿宋_GB2312" w:hAnsi="Calibri" w:eastAsia="仿宋_GB2312" w:cs="Times New Roman"/>
          <w:sz w:val="32"/>
          <w:szCs w:val="32"/>
          <w:lang w:val="en-US" w:eastAsia="zh-CN"/>
        </w:rPr>
        <w:t>压缩支出，减少经费</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3</w:t>
      </w:r>
      <w:r>
        <w:rPr>
          <w:rFonts w:hint="eastAsia" w:ascii="仿宋_GB2312" w:eastAsia="仿宋_GB2312"/>
          <w:sz w:val="32"/>
          <w:szCs w:val="32"/>
        </w:rPr>
        <w:t>万元，决算数</w:t>
      </w:r>
      <w:r>
        <w:rPr>
          <w:rFonts w:ascii="仿宋_GB2312" w:eastAsia="仿宋_GB2312"/>
          <w:sz w:val="32"/>
          <w:szCs w:val="32"/>
        </w:rPr>
        <w:t>2.63</w:t>
      </w:r>
      <w:r>
        <w:rPr>
          <w:rFonts w:hint="eastAsia" w:ascii="仿宋_GB2312" w:eastAsia="仿宋_GB2312"/>
          <w:sz w:val="32"/>
          <w:szCs w:val="32"/>
        </w:rPr>
        <w:t>万元，预决算差异率</w:t>
      </w:r>
      <w:r>
        <w:rPr>
          <w:rFonts w:ascii="仿宋_GB2312" w:eastAsia="仿宋_GB2312"/>
          <w:sz w:val="32"/>
          <w:szCs w:val="32"/>
        </w:rPr>
        <w:t>-12.21</w:t>
      </w:r>
      <w:r>
        <w:rPr>
          <w:rFonts w:hint="eastAsia" w:ascii="仿宋_GB2312" w:eastAsia="仿宋_GB2312"/>
          <w:sz w:val="32"/>
          <w:szCs w:val="32"/>
        </w:rPr>
        <w:t>%，主要原因是：</w:t>
      </w:r>
      <w:bookmarkStart w:id="0" w:name="_GoBack"/>
      <w:bookmarkEnd w:id="0"/>
      <w:r>
        <w:rPr>
          <w:rFonts w:hint="eastAsia" w:ascii="仿宋_GB2312" w:hAnsi="Calibri" w:eastAsia="仿宋_GB2312" w:cs="Times New Roman"/>
          <w:sz w:val="32"/>
          <w:szCs w:val="32"/>
          <w:lang w:val="en-US" w:eastAsia="zh-CN"/>
        </w:rPr>
        <w:t>压缩支出，减少经费</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新疆伊犁州霍城县财政局</w:t>
      </w:r>
      <w:r>
        <w:rPr>
          <w:rFonts w:hint="eastAsia" w:ascii="仿宋_GB2312" w:eastAsia="仿宋_GB2312"/>
          <w:sz w:val="32"/>
          <w:szCs w:val="32"/>
        </w:rPr>
        <w:t>（行政单位）机关运行经费支出</w:t>
      </w:r>
      <w:r>
        <w:rPr>
          <w:rFonts w:ascii="仿宋_GB2312" w:eastAsia="仿宋_GB2312"/>
          <w:sz w:val="32"/>
          <w:szCs w:val="32"/>
        </w:rPr>
        <w:t>349.26</w:t>
      </w:r>
      <w:r>
        <w:rPr>
          <w:rFonts w:hint="eastAsia" w:ascii="仿宋_GB2312" w:eastAsia="仿宋_GB2312"/>
          <w:sz w:val="32"/>
          <w:szCs w:val="32"/>
        </w:rPr>
        <w:t>万元，比上年增加</w:t>
      </w:r>
      <w:r>
        <w:rPr>
          <w:rFonts w:ascii="仿宋_GB2312" w:eastAsia="仿宋_GB2312"/>
          <w:sz w:val="32"/>
          <w:szCs w:val="32"/>
        </w:rPr>
        <w:t>67.98</w:t>
      </w:r>
      <w:r>
        <w:rPr>
          <w:rFonts w:hint="eastAsia" w:ascii="仿宋_GB2312" w:eastAsia="仿宋_GB2312"/>
          <w:sz w:val="32"/>
          <w:szCs w:val="32"/>
        </w:rPr>
        <w:t>万元，增长</w:t>
      </w:r>
      <w:r>
        <w:rPr>
          <w:rFonts w:ascii="仿宋_GB2312" w:eastAsia="仿宋_GB2312"/>
          <w:sz w:val="32"/>
          <w:szCs w:val="32"/>
        </w:rPr>
        <w:t xml:space="preserve"> 24.17</w:t>
      </w:r>
      <w:r>
        <w:rPr>
          <w:rFonts w:hint="eastAsia" w:ascii="仿宋_GB2312" w:eastAsia="仿宋_GB2312"/>
          <w:sz w:val="32"/>
          <w:szCs w:val="32"/>
        </w:rPr>
        <w:t>%，主要原因是：办公设备老化增加开支。</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252.71</w:t>
      </w:r>
      <w:r>
        <w:rPr>
          <w:rFonts w:hint="eastAsia" w:ascii="仿宋_GB2312" w:eastAsia="仿宋_GB2312"/>
          <w:sz w:val="32"/>
          <w:szCs w:val="32"/>
        </w:rPr>
        <w:t>万元，其中：政府采购货物支出</w:t>
      </w:r>
      <w:r>
        <w:rPr>
          <w:rFonts w:ascii="仿宋_GB2312" w:eastAsia="仿宋_GB2312"/>
          <w:sz w:val="32"/>
          <w:szCs w:val="32"/>
        </w:rPr>
        <w:t>219.91</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32.8</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3164</w:t>
      </w:r>
      <w:r>
        <w:rPr>
          <w:rFonts w:hint="eastAsia" w:ascii="仿宋_GB2312" w:eastAsia="仿宋_GB2312"/>
          <w:sz w:val="32"/>
          <w:szCs w:val="32"/>
        </w:rPr>
        <w:t>（平方米），价值</w:t>
      </w:r>
      <w:r>
        <w:rPr>
          <w:rFonts w:ascii="仿宋_GB2312" w:eastAsia="仿宋_GB2312"/>
          <w:sz w:val="32"/>
          <w:szCs w:val="32"/>
        </w:rPr>
        <w:t>398.59</w:t>
      </w:r>
      <w:r>
        <w:rPr>
          <w:rFonts w:hint="eastAsia" w:ascii="仿宋_GB2312" w:eastAsia="仿宋_GB2312"/>
          <w:sz w:val="32"/>
          <w:szCs w:val="32"/>
        </w:rPr>
        <w:t>万元。车辆</w:t>
      </w:r>
      <w:r>
        <w:rPr>
          <w:rFonts w:ascii="仿宋_GB2312" w:eastAsia="仿宋_GB2312"/>
          <w:sz w:val="32"/>
          <w:szCs w:val="32"/>
        </w:rPr>
        <w:t>3</w:t>
      </w:r>
      <w:r>
        <w:rPr>
          <w:rFonts w:hint="eastAsia" w:ascii="仿宋_GB2312" w:eastAsia="仿宋_GB2312"/>
          <w:sz w:val="32"/>
          <w:szCs w:val="32"/>
        </w:rPr>
        <w:t>辆，价值</w:t>
      </w:r>
      <w:r>
        <w:rPr>
          <w:rFonts w:ascii="仿宋_GB2312" w:eastAsia="仿宋_GB2312"/>
          <w:sz w:val="32"/>
          <w:szCs w:val="32"/>
        </w:rPr>
        <w:t>54.09</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3</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1个，共涉及资金300万元。预算绩效管理取得的成效：保障全县各预算单位财政业务运行正常。发现的问题及原因：在绩效考评指标的设计上还有待完善。下一步改进措施：预算绩效管理工作属于新生事物，系统化和专业性很强，单位在这方面经验和做法都比较欠缺。建议增加培训场次，并结合实际例子讲解，增强预算绩效管理的可操作性。具体项目自评情况附项目支出绩效自评表。</w:t>
      </w:r>
    </w:p>
    <w:tbl>
      <w:tblPr>
        <w:tblStyle w:val="9"/>
        <w:tblW w:w="9080" w:type="dxa"/>
        <w:jc w:val="center"/>
        <w:tblInd w:w="0" w:type="dxa"/>
        <w:tblLayout w:type="fixed"/>
        <w:tblCellMar>
          <w:top w:w="0" w:type="dxa"/>
          <w:left w:w="108" w:type="dxa"/>
          <w:bottom w:w="0" w:type="dxa"/>
          <w:right w:w="108" w:type="dxa"/>
        </w:tblCellMar>
      </w:tblPr>
      <w:tblGrid>
        <w:gridCol w:w="588"/>
        <w:gridCol w:w="980"/>
        <w:gridCol w:w="1112"/>
        <w:gridCol w:w="730"/>
        <w:gridCol w:w="823"/>
        <w:gridCol w:w="311"/>
        <w:gridCol w:w="1625"/>
        <w:gridCol w:w="643"/>
        <w:gridCol w:w="44"/>
        <w:gridCol w:w="582"/>
        <w:gridCol w:w="83"/>
        <w:gridCol w:w="481"/>
        <w:gridCol w:w="370"/>
        <w:gridCol w:w="708"/>
      </w:tblGrid>
      <w:tr>
        <w:tblPrEx>
          <w:tblLayout w:type="fixed"/>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宋体" w:hAnsi="宋体" w:cs="宋体"/>
                <w:kern w:val="0"/>
                <w:sz w:val="22"/>
                <w:szCs w:val="22"/>
              </w:rPr>
            </w:pPr>
            <w:r>
              <w:rPr>
                <w:rFonts w:hint="eastAsia" w:ascii="宋体" w:hAnsi="宋体" w:cs="宋体"/>
                <w:kern w:val="0"/>
                <w:sz w:val="22"/>
                <w:szCs w:val="22"/>
              </w:rPr>
              <w:t>（ 2019年度）</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tabs>
                <w:tab w:val="left" w:pos="839"/>
              </w:tabs>
              <w:spacing w:line="240" w:lineRule="exact"/>
              <w:jc w:val="left"/>
              <w:rPr>
                <w:rFonts w:ascii="宋体" w:hAnsi="宋体" w:cs="宋体"/>
                <w:kern w:val="0"/>
                <w:sz w:val="18"/>
                <w:szCs w:val="18"/>
              </w:rPr>
            </w:pPr>
            <w:r>
              <w:rPr>
                <w:rFonts w:hint="eastAsia" w:ascii="宋体" w:hAnsi="宋体" w:cs="宋体"/>
                <w:kern w:val="0"/>
                <w:sz w:val="18"/>
                <w:szCs w:val="18"/>
              </w:rPr>
              <w:tab/>
            </w:r>
            <w:r>
              <w:rPr>
                <w:rFonts w:hint="eastAsia" w:ascii="宋体" w:hAnsi="宋体" w:cs="宋体"/>
                <w:kern w:val="0"/>
                <w:sz w:val="18"/>
                <w:szCs w:val="18"/>
              </w:rPr>
              <w:t>业务委托</w:t>
            </w:r>
          </w:p>
        </w:tc>
      </w:tr>
      <w:tr>
        <w:tblPrEx>
          <w:tblLayout w:type="fixed"/>
          <w:tblCellMar>
            <w:top w:w="0" w:type="dxa"/>
            <w:left w:w="108" w:type="dxa"/>
            <w:bottom w:w="0" w:type="dxa"/>
            <w:right w:w="108" w:type="dxa"/>
          </w:tblCellMar>
        </w:tblPrEx>
        <w:trPr>
          <w:trHeight w:val="521"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60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霍城县财政局</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霍城县财政局</w:t>
            </w:r>
          </w:p>
        </w:tc>
      </w:tr>
      <w:tr>
        <w:tblPrEx>
          <w:tblLayout w:type="fixed"/>
          <w:tblCellMar>
            <w:top w:w="0" w:type="dxa"/>
            <w:left w:w="108" w:type="dxa"/>
            <w:bottom w:w="0" w:type="dxa"/>
            <w:right w:w="108" w:type="dxa"/>
          </w:tblCellMar>
        </w:tblPrEx>
        <w:trPr>
          <w:trHeight w:val="912"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62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300</w:t>
            </w:r>
          </w:p>
        </w:tc>
        <w:tc>
          <w:tcPr>
            <w:tcW w:w="162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300</w:t>
            </w: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300</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300</w:t>
            </w:r>
          </w:p>
        </w:tc>
        <w:tc>
          <w:tcPr>
            <w:tcW w:w="162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300</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62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62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4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58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291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58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完成财政大平台的运行维护，保证财政业务的正常运转，保证财政委托中介公司项目审核咨询费的支付。</w:t>
            </w:r>
          </w:p>
        </w:tc>
        <w:tc>
          <w:tcPr>
            <w:tcW w:w="291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已完成项目的审核，财政业运行正常</w:t>
            </w:r>
          </w:p>
        </w:tc>
      </w:tr>
      <w:tr>
        <w:tblPrEx>
          <w:tblLayout w:type="fixed"/>
          <w:tblCellMar>
            <w:top w:w="0" w:type="dxa"/>
            <w:left w:w="108" w:type="dxa"/>
            <w:bottom w:w="0" w:type="dxa"/>
            <w:right w:w="108" w:type="dxa"/>
          </w:tblCellMar>
        </w:tblPrEx>
        <w:trPr>
          <w:trHeight w:val="846"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55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9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年度指标值</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106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553" w:type="dxa"/>
            <w:gridSpan w:val="2"/>
            <w:tcBorders>
              <w:top w:val="single" w:color="auto" w:sz="4" w:space="0"/>
              <w:left w:val="nil"/>
              <w:bottom w:val="single" w:color="auto" w:sz="4" w:space="0"/>
              <w:right w:val="single" w:color="auto" w:sz="4" w:space="0"/>
            </w:tcBorders>
          </w:tcPr>
          <w:p>
            <w:pPr>
              <w:widowControl/>
              <w:jc w:val="left"/>
              <w:textAlignment w:val="top"/>
              <w:rPr>
                <w:rFonts w:ascii="宋体" w:hAnsi="宋体" w:cs="宋体"/>
                <w:color w:val="000000"/>
                <w:kern w:val="0"/>
                <w:sz w:val="18"/>
                <w:szCs w:val="18"/>
              </w:rPr>
            </w:pPr>
            <w:r>
              <w:rPr>
                <w:rFonts w:hint="eastAsia" w:ascii="宋体" w:hAnsi="宋体" w:cs="宋体"/>
                <w:color w:val="000000"/>
                <w:kern w:val="0"/>
                <w:sz w:val="18"/>
                <w:szCs w:val="18"/>
                <w:lang w:bidi="ar"/>
              </w:rPr>
              <w:t>指标1：完成全县基本建设项目预算决算审核</w:t>
            </w:r>
          </w:p>
        </w:tc>
        <w:tc>
          <w:tcPr>
            <w:tcW w:w="1936" w:type="dxa"/>
            <w:gridSpan w:val="2"/>
            <w:tcBorders>
              <w:top w:val="nil"/>
              <w:left w:val="nil"/>
              <w:bottom w:val="single" w:color="auto" w:sz="4" w:space="0"/>
              <w:right w:val="single" w:color="auto" w:sz="4" w:space="0"/>
            </w:tcBorders>
          </w:tcPr>
          <w:p>
            <w:pPr>
              <w:widowControl/>
              <w:jc w:val="left"/>
              <w:textAlignment w:val="top"/>
              <w:rPr>
                <w:rFonts w:ascii="宋体" w:hAnsi="宋体" w:cs="宋体"/>
                <w:color w:val="000000"/>
                <w:kern w:val="0"/>
                <w:sz w:val="18"/>
                <w:szCs w:val="18"/>
              </w:rPr>
            </w:pPr>
            <w:r>
              <w:rPr>
                <w:rFonts w:hint="eastAsia" w:ascii="宋体" w:hAnsi="宋体" w:cs="宋体"/>
                <w:color w:val="000000"/>
                <w:kern w:val="0"/>
                <w:sz w:val="18"/>
                <w:szCs w:val="18"/>
                <w:lang w:bidi="ar"/>
              </w:rPr>
              <w:t>送审项目在规定时间内100%完成</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23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53" w:type="dxa"/>
            <w:gridSpan w:val="2"/>
            <w:tcBorders>
              <w:top w:val="single" w:color="auto" w:sz="4" w:space="0"/>
              <w:left w:val="nil"/>
              <w:bottom w:val="single" w:color="auto" w:sz="4" w:space="0"/>
              <w:right w:val="single" w:color="auto" w:sz="4" w:space="0"/>
            </w:tcBorders>
          </w:tcPr>
          <w:p>
            <w:pPr>
              <w:widowControl/>
              <w:jc w:val="left"/>
              <w:textAlignment w:val="top"/>
              <w:rPr>
                <w:rFonts w:ascii="宋体" w:hAnsi="宋体" w:cs="宋体"/>
                <w:color w:val="000000"/>
                <w:kern w:val="0"/>
                <w:sz w:val="18"/>
                <w:szCs w:val="18"/>
              </w:rPr>
            </w:pPr>
            <w:r>
              <w:rPr>
                <w:rStyle w:val="13"/>
                <w:rFonts w:hint="default"/>
                <w:lang w:bidi="ar"/>
              </w:rPr>
              <w:t>指标2：保证财政业务正常运转</w:t>
            </w:r>
          </w:p>
        </w:tc>
        <w:tc>
          <w:tcPr>
            <w:tcW w:w="1936" w:type="dxa"/>
            <w:gridSpan w:val="2"/>
            <w:tcBorders>
              <w:top w:val="nil"/>
              <w:left w:val="nil"/>
              <w:bottom w:val="single" w:color="auto" w:sz="4" w:space="0"/>
              <w:right w:val="single" w:color="auto" w:sz="4" w:space="0"/>
            </w:tcBorders>
          </w:tcPr>
          <w:p>
            <w:pPr>
              <w:widowControl/>
              <w:jc w:val="center"/>
              <w:textAlignment w:val="top"/>
              <w:rPr>
                <w:rFonts w:ascii="宋体" w:hAnsi="宋体" w:cs="宋体"/>
                <w:kern w:val="0"/>
                <w:sz w:val="18"/>
                <w:szCs w:val="18"/>
              </w:rPr>
            </w:pPr>
            <w:r>
              <w:rPr>
                <w:rStyle w:val="14"/>
                <w:rFonts w:hint="default"/>
                <w:lang w:bidi="ar"/>
              </w:rPr>
              <w:t>年初预算国库信息化业务120</w:t>
            </w:r>
            <w:r>
              <w:rPr>
                <w:rFonts w:hint="eastAsia" w:ascii="宋体" w:hAnsi="宋体" w:cs="宋体"/>
                <w:color w:val="000000"/>
                <w:kern w:val="0"/>
                <w:sz w:val="18"/>
                <w:szCs w:val="18"/>
                <w:lang w:bidi="ar"/>
              </w:rPr>
              <w:t>万、年初预算中介审工程费80万</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4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5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指标1：保证霍城县财政各网络线路正常运行</w:t>
            </w:r>
          </w:p>
        </w:tc>
        <w:tc>
          <w:tcPr>
            <w:tcW w:w="1936"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≥90</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70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指标2：财政信息系统正常运转</w:t>
            </w:r>
          </w:p>
        </w:tc>
        <w:tc>
          <w:tcPr>
            <w:tcW w:w="1936"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≥95</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01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指标3：完成部门预算、部门指标、国库集中支付系统整合工作</w:t>
            </w:r>
          </w:p>
        </w:tc>
        <w:tc>
          <w:tcPr>
            <w:tcW w:w="1936"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≥90</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8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5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指标1：完成时间</w:t>
            </w:r>
          </w:p>
        </w:tc>
        <w:tc>
          <w:tcPr>
            <w:tcW w:w="1936"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2019年12月31日前</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kern w:val="0"/>
                <w:sz w:val="18"/>
                <w:szCs w:val="18"/>
              </w:rPr>
              <w:t>100%</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8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5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指标2：支出进度</w:t>
            </w:r>
          </w:p>
        </w:tc>
        <w:tc>
          <w:tcPr>
            <w:tcW w:w="1936"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严格按照支出进度100%完成</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kern w:val="0"/>
                <w:sz w:val="18"/>
                <w:szCs w:val="18"/>
              </w:rPr>
              <w:t>100%</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6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55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指标1：成本指标</w:t>
            </w:r>
          </w:p>
        </w:tc>
        <w:tc>
          <w:tcPr>
            <w:tcW w:w="1936" w:type="dxa"/>
            <w:gridSpan w:val="2"/>
            <w:tcBorders>
              <w:top w:val="nil"/>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按照2019年部门预算安排100%完成</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5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5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指标1：通过资金保障使全县财政业务运行正常</w:t>
            </w:r>
          </w:p>
        </w:tc>
        <w:tc>
          <w:tcPr>
            <w:tcW w:w="19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全县预算单位财政业务运行正常</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105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5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指标1：保证财政收支业务正常，维护全县工作生活正常运行</w:t>
            </w:r>
          </w:p>
        </w:tc>
        <w:tc>
          <w:tcPr>
            <w:tcW w:w="19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经费使用100%覆盖2019年全县预算单位</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6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55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指标1：无直接环境效益</w:t>
            </w:r>
          </w:p>
        </w:tc>
        <w:tc>
          <w:tcPr>
            <w:tcW w:w="19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w:t>
            </w:r>
          </w:p>
        </w:tc>
        <w:tc>
          <w:tcPr>
            <w:tcW w:w="68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77"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155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5"/>
                <w:szCs w:val="15"/>
              </w:rPr>
              <w:t>指标1：保障我局信息化建设可持续性发展</w:t>
            </w:r>
          </w:p>
        </w:tc>
        <w:tc>
          <w:tcPr>
            <w:tcW w:w="193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687" w:type="dxa"/>
            <w:gridSpan w:val="2"/>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100%</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p>
        </w:tc>
      </w:tr>
      <w:tr>
        <w:tblPrEx>
          <w:tblLayout w:type="fixed"/>
          <w:tblCellMar>
            <w:top w:w="0" w:type="dxa"/>
            <w:left w:w="108" w:type="dxa"/>
            <w:bottom w:w="0" w:type="dxa"/>
            <w:right w:w="108" w:type="dxa"/>
          </w:tblCellMar>
        </w:tblPrEx>
        <w:trPr>
          <w:trHeight w:val="7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55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指标1：全县预算单位抽样满意度</w:t>
            </w:r>
          </w:p>
        </w:tc>
        <w:tc>
          <w:tcPr>
            <w:tcW w:w="1936" w:type="dxa"/>
            <w:gridSpan w:val="2"/>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cs="宋体"/>
                <w:kern w:val="0"/>
                <w:sz w:val="18"/>
                <w:szCs w:val="18"/>
              </w:rPr>
            </w:pPr>
            <w:r>
              <w:rPr>
                <w:rFonts w:hint="eastAsia" w:ascii="宋体" w:hAnsi="宋体" w:cs="宋体"/>
                <w:kern w:val="0"/>
                <w:sz w:val="18"/>
                <w:szCs w:val="18"/>
              </w:rPr>
              <w:t>≥90%</w:t>
            </w:r>
          </w:p>
        </w:tc>
        <w:tc>
          <w:tcPr>
            <w:tcW w:w="687" w:type="dxa"/>
            <w:gridSpan w:val="2"/>
            <w:tcBorders>
              <w:top w:val="nil"/>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cs="宋体"/>
                <w:kern w:val="0"/>
                <w:sz w:val="18"/>
                <w:szCs w:val="18"/>
              </w:rPr>
            </w:pPr>
            <w:r>
              <w:rPr>
                <w:rFonts w:hint="eastAsia" w:ascii="宋体" w:hAnsi="宋体" w:cs="宋体"/>
                <w:kern w:val="0"/>
                <w:sz w:val="18"/>
                <w:szCs w:val="18"/>
              </w:rPr>
              <w:t>100%</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86" w:hRule="exact"/>
          <w:jc w:val="center"/>
        </w:trPr>
        <w:tc>
          <w:tcPr>
            <w:tcW w:w="6856"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8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0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00" w:usb3="00000000" w:csb0="00040000"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仿宋_GB2312">
    <w:altName w:val="仿宋"/>
    <w:panose1 w:val="02010609030101010101"/>
    <w:charset w:val="86"/>
    <w:family w:val="decorative"/>
    <w:pitch w:val="default"/>
    <w:sig w:usb0="00000000" w:usb1="0000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3D0D"/>
    <w:rsid w:val="00015341"/>
    <w:rsid w:val="00034FC8"/>
    <w:rsid w:val="000458A5"/>
    <w:rsid w:val="00054B86"/>
    <w:rsid w:val="0009634D"/>
    <w:rsid w:val="000A1F9E"/>
    <w:rsid w:val="000D327C"/>
    <w:rsid w:val="00126D47"/>
    <w:rsid w:val="00197EB4"/>
    <w:rsid w:val="001D7DE3"/>
    <w:rsid w:val="001E387F"/>
    <w:rsid w:val="00203B4A"/>
    <w:rsid w:val="00205DF4"/>
    <w:rsid w:val="00257C46"/>
    <w:rsid w:val="002B0D8F"/>
    <w:rsid w:val="002C4A14"/>
    <w:rsid w:val="002D421A"/>
    <w:rsid w:val="002E2F25"/>
    <w:rsid w:val="003143D1"/>
    <w:rsid w:val="00330951"/>
    <w:rsid w:val="00380B71"/>
    <w:rsid w:val="003C2842"/>
    <w:rsid w:val="003E1399"/>
    <w:rsid w:val="003E5FDB"/>
    <w:rsid w:val="00460400"/>
    <w:rsid w:val="00467AA5"/>
    <w:rsid w:val="00494DFF"/>
    <w:rsid w:val="00496398"/>
    <w:rsid w:val="004B1179"/>
    <w:rsid w:val="004B2E3F"/>
    <w:rsid w:val="004C320B"/>
    <w:rsid w:val="004D2E92"/>
    <w:rsid w:val="004E07A9"/>
    <w:rsid w:val="005040D8"/>
    <w:rsid w:val="00544085"/>
    <w:rsid w:val="00597FDC"/>
    <w:rsid w:val="00602421"/>
    <w:rsid w:val="0065381A"/>
    <w:rsid w:val="00694170"/>
    <w:rsid w:val="00740961"/>
    <w:rsid w:val="00752542"/>
    <w:rsid w:val="0076245D"/>
    <w:rsid w:val="007716BE"/>
    <w:rsid w:val="0079328D"/>
    <w:rsid w:val="007A29F3"/>
    <w:rsid w:val="007A3352"/>
    <w:rsid w:val="008A1D36"/>
    <w:rsid w:val="008E0BE2"/>
    <w:rsid w:val="009251F7"/>
    <w:rsid w:val="009762D7"/>
    <w:rsid w:val="009764A8"/>
    <w:rsid w:val="00985B11"/>
    <w:rsid w:val="009A2AF5"/>
    <w:rsid w:val="009E51FD"/>
    <w:rsid w:val="00A41D58"/>
    <w:rsid w:val="00A94CDE"/>
    <w:rsid w:val="00AC1B7A"/>
    <w:rsid w:val="00AC7C38"/>
    <w:rsid w:val="00AE1A7A"/>
    <w:rsid w:val="00AF26D1"/>
    <w:rsid w:val="00B562C4"/>
    <w:rsid w:val="00B92BC8"/>
    <w:rsid w:val="00BE2864"/>
    <w:rsid w:val="00C0361D"/>
    <w:rsid w:val="00C06295"/>
    <w:rsid w:val="00C24EF4"/>
    <w:rsid w:val="00CD1B13"/>
    <w:rsid w:val="00D6662F"/>
    <w:rsid w:val="00D705AF"/>
    <w:rsid w:val="00D75105"/>
    <w:rsid w:val="00D803A8"/>
    <w:rsid w:val="00DE468A"/>
    <w:rsid w:val="00E2499A"/>
    <w:rsid w:val="00E56879"/>
    <w:rsid w:val="00E85F32"/>
    <w:rsid w:val="00ED26EA"/>
    <w:rsid w:val="00EF3F7E"/>
    <w:rsid w:val="00F138DF"/>
    <w:rsid w:val="00F279B8"/>
    <w:rsid w:val="00F60976"/>
    <w:rsid w:val="00F90802"/>
    <w:rsid w:val="00FC2D72"/>
    <w:rsid w:val="54916D6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qFormat/>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 w:type="character" w:customStyle="1" w:styleId="13">
    <w:name w:val="font01"/>
    <w:basedOn w:val="8"/>
    <w:qFormat/>
    <w:uiPriority w:val="0"/>
    <w:rPr>
      <w:rFonts w:hint="eastAsia" w:ascii="宋体" w:hAnsi="宋体" w:eastAsia="宋体" w:cs="宋体"/>
      <w:color w:val="000000"/>
      <w:sz w:val="18"/>
      <w:szCs w:val="18"/>
      <w:u w:val="none"/>
    </w:rPr>
  </w:style>
  <w:style w:type="character" w:customStyle="1" w:styleId="14">
    <w:name w:val="font11"/>
    <w:basedOn w:val="8"/>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1045</Words>
  <Characters>5963</Characters>
  <Lines>49</Lines>
  <Paragraphs>13</Paragraphs>
  <ScaleCrop>false</ScaleCrop>
  <LinksUpToDate>false</LinksUpToDate>
  <CharactersWithSpaces>6995</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2020-08-16T14:39:00Z</dcterms:created>
  <dc:creator>胡 锦岩</dc:creator>
  <cp:lastModifiedBy>Administrator</cp:lastModifiedBy>
  <dcterms:modified xsi:type="dcterms:W3CDTF">2020-11-05T09:16:48Z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