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宋体" w:eastAsia="方正小标宋_GBK"/>
          <w:sz w:val="44"/>
          <w:szCs w:val="44"/>
        </w:rPr>
        <w:t>新疆伊犁州霍城县司法局</w:t>
      </w:r>
      <w:r>
        <w:rPr>
          <w:rFonts w:hint="eastAsia" w:ascii="方正小标宋_GBK" w:hAnsi="宋体" w:eastAsia="方正小标宋_GBK"/>
          <w:sz w:val="44"/>
          <w:szCs w:val="44"/>
        </w:rPr>
        <w:t>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第一部分部门单位概况</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ind w:firstLine="640" w:firstLineChars="200"/>
        <w:rPr>
          <w:rFonts w:ascii="仿宋_GB2312" w:eastAsia="仿宋_GB2312"/>
          <w:sz w:val="32"/>
          <w:szCs w:val="32"/>
        </w:rPr>
      </w:pPr>
      <w:r>
        <w:rPr>
          <w:rFonts w:ascii="仿宋_GB2312" w:eastAsia="仿宋_GB2312"/>
          <w:sz w:val="32"/>
          <w:szCs w:val="32"/>
        </w:rPr>
        <w:t>1、贯彻执行国家司法行政工作的方针、政策和法律法规及规章；研究和拟定县司法行政工作政策、法规、规章及中长期规划、年度计划，并组织实施。2、制定依法治理、法制宣传和普及法律常识工作规划并组织实施。3、指导监督县律师、法律服务、法律援助和公证业务。4、负责受理和指导法律援助申请、指派或安排人员或律师为符合条件的公民提供法律援助。5、指导司法行政机关管理人民调解工作及基层司法所、基层法律服务工作；6、指导、监督、管理全县社区矫正工作。7、参与社会治安综合治理工作。8、主管全县司法行政队伍建设和思想政治、精神文明建设工作，负责组织全县司法行政干部培训和司法行政机关复议、应诉工作。9、承办县政府交办的其他事项</w:t>
      </w:r>
      <w:r>
        <w:rPr>
          <w:rFonts w:hint="eastAsia" w:ascii="仿宋_GB2312" w:eastAsia="仿宋_GB2312"/>
          <w:sz w:val="32"/>
          <w:szCs w:val="32"/>
          <w:lang w:eastAsia="zh-CN"/>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ind w:firstLine="640" w:firstLineChars="200"/>
        <w:rPr>
          <w:rFonts w:ascii="仿宋_GB2312" w:eastAsia="仿宋_GB2312"/>
          <w:sz w:val="32"/>
          <w:szCs w:val="32"/>
        </w:rPr>
      </w:pPr>
      <w:r>
        <w:rPr>
          <w:rFonts w:ascii="仿宋_GB2312" w:eastAsia="仿宋_GB2312"/>
          <w:sz w:val="32"/>
          <w:szCs w:val="32"/>
        </w:rPr>
        <w:t>新疆伊犁州霍城县司法局</w:t>
      </w:r>
      <w:r>
        <w:rPr>
          <w:rFonts w:hint="eastAsia" w:ascii="仿宋_GB2312" w:eastAsia="仿宋_GB2312"/>
          <w:sz w:val="32"/>
          <w:szCs w:val="32"/>
        </w:rPr>
        <w:t>2019年度，实有人数</w:t>
      </w:r>
      <w:r>
        <w:rPr>
          <w:rFonts w:ascii="仿宋_GB2312" w:eastAsia="仿宋_GB2312"/>
          <w:sz w:val="32"/>
          <w:szCs w:val="32"/>
        </w:rPr>
        <w:t>22</w:t>
      </w:r>
      <w:r>
        <w:rPr>
          <w:rFonts w:hint="eastAsia" w:ascii="仿宋_GB2312" w:eastAsia="仿宋_GB2312"/>
          <w:sz w:val="32"/>
          <w:szCs w:val="32"/>
        </w:rPr>
        <w:t>人，其中：在职人员</w:t>
      </w:r>
      <w:r>
        <w:rPr>
          <w:rFonts w:ascii="仿宋_GB2312" w:eastAsia="仿宋_GB2312"/>
          <w:sz w:val="32"/>
          <w:szCs w:val="32"/>
        </w:rPr>
        <w:t>21</w:t>
      </w:r>
      <w:r>
        <w:rPr>
          <w:rFonts w:hint="eastAsia" w:ascii="仿宋_GB2312" w:eastAsia="仿宋_GB2312"/>
          <w:sz w:val="32"/>
          <w:szCs w:val="32"/>
        </w:rPr>
        <w:t>人，离休人员</w:t>
      </w:r>
      <w:r>
        <w:rPr>
          <w:rFonts w:ascii="仿宋_GB2312" w:eastAsia="仿宋_GB2312"/>
          <w:sz w:val="32"/>
          <w:szCs w:val="32"/>
        </w:rPr>
        <w:t>1</w:t>
      </w:r>
      <w:r>
        <w:rPr>
          <w:rFonts w:hint="eastAsia" w:ascii="仿宋_GB2312" w:eastAsia="仿宋_GB2312"/>
          <w:sz w:val="32"/>
          <w:szCs w:val="32"/>
        </w:rPr>
        <w:t>人，退休人员</w:t>
      </w:r>
      <w:r>
        <w:rPr>
          <w:rFonts w:ascii="仿宋_GB2312" w:eastAsia="仿宋_GB2312"/>
          <w:sz w:val="32"/>
          <w:szCs w:val="32"/>
        </w:rPr>
        <w:t>0</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w:t>
      </w:r>
      <w:r>
        <w:rPr>
          <w:rFonts w:ascii="仿宋_GB2312" w:eastAsia="仿宋_GB2312"/>
          <w:sz w:val="32"/>
          <w:szCs w:val="32"/>
        </w:rPr>
        <w:t>新疆伊犁州霍城县司法局</w:t>
      </w:r>
      <w:r>
        <w:rPr>
          <w:rFonts w:hint="eastAsia" w:ascii="仿宋_GB2312" w:eastAsia="仿宋_GB2312"/>
          <w:sz w:val="32"/>
          <w:szCs w:val="32"/>
        </w:rPr>
        <w:t>决算包括：</w:t>
      </w:r>
      <w:r>
        <w:rPr>
          <w:rFonts w:ascii="仿宋_GB2312" w:eastAsia="仿宋_GB2312"/>
          <w:sz w:val="32"/>
          <w:szCs w:val="32"/>
        </w:rPr>
        <w:t>新疆伊犁州霍城县司法局</w:t>
      </w:r>
      <w:r>
        <w:rPr>
          <w:rFonts w:hint="eastAsia" w:ascii="仿宋_GB2312" w:eastAsia="仿宋_GB2312"/>
          <w:sz w:val="32"/>
          <w:szCs w:val="32"/>
        </w:rPr>
        <w:t>决算。</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第二部分部门决算情况说明</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430.06</w:t>
      </w:r>
      <w:r>
        <w:rPr>
          <w:rFonts w:hint="eastAsia" w:ascii="仿宋_GB2312" w:eastAsia="仿宋_GB2312"/>
          <w:sz w:val="32"/>
          <w:szCs w:val="32"/>
        </w:rPr>
        <w:t>万元，与上年相比，增加</w:t>
      </w:r>
      <w:r>
        <w:rPr>
          <w:rFonts w:ascii="仿宋_GB2312" w:eastAsia="仿宋_GB2312"/>
          <w:sz w:val="32"/>
          <w:szCs w:val="32"/>
        </w:rPr>
        <w:t>58.09</w:t>
      </w:r>
      <w:r>
        <w:rPr>
          <w:rFonts w:hint="eastAsia" w:ascii="仿宋_GB2312" w:eastAsia="仿宋_GB2312"/>
          <w:sz w:val="32"/>
          <w:szCs w:val="32"/>
        </w:rPr>
        <w:t>万元，增长</w:t>
      </w:r>
      <w:r>
        <w:rPr>
          <w:rFonts w:ascii="仿宋_GB2312" w:eastAsia="仿宋_GB2312"/>
          <w:sz w:val="32"/>
          <w:szCs w:val="32"/>
        </w:rPr>
        <w:t>15.62</w:t>
      </w:r>
      <w:r>
        <w:rPr>
          <w:rFonts w:hint="eastAsia" w:ascii="仿宋_GB2312" w:eastAsia="仿宋_GB2312"/>
          <w:sz w:val="32"/>
          <w:szCs w:val="32"/>
        </w:rPr>
        <w:t>%，主要原因是：</w:t>
      </w:r>
      <w:r>
        <w:rPr>
          <w:rFonts w:hint="eastAsia" w:ascii="仿宋_GB2312" w:eastAsia="仿宋_GB2312"/>
          <w:sz w:val="32"/>
          <w:szCs w:val="32"/>
          <w:lang w:eastAsia="zh-CN"/>
        </w:rPr>
        <w:t>办公室维修，</w:t>
      </w:r>
      <w:r>
        <w:rPr>
          <w:rFonts w:hint="eastAsia" w:ascii="仿宋_GB2312" w:eastAsia="仿宋_GB2312"/>
          <w:sz w:val="32"/>
          <w:szCs w:val="32"/>
        </w:rPr>
        <w:t>项目支出增加。本年支出</w:t>
      </w:r>
      <w:r>
        <w:rPr>
          <w:rFonts w:ascii="仿宋_GB2312" w:eastAsia="仿宋_GB2312"/>
          <w:sz w:val="32"/>
          <w:szCs w:val="32"/>
        </w:rPr>
        <w:t>364.17</w:t>
      </w:r>
      <w:r>
        <w:rPr>
          <w:rFonts w:hint="eastAsia" w:ascii="仿宋_GB2312" w:eastAsia="仿宋_GB2312"/>
          <w:sz w:val="32"/>
          <w:szCs w:val="32"/>
        </w:rPr>
        <w:t>万元，与上年相比，增加</w:t>
      </w:r>
      <w:r>
        <w:rPr>
          <w:rFonts w:ascii="仿宋_GB2312" w:eastAsia="仿宋_GB2312"/>
          <w:sz w:val="32"/>
          <w:szCs w:val="32"/>
        </w:rPr>
        <w:t>41.36</w:t>
      </w:r>
      <w:r>
        <w:rPr>
          <w:rFonts w:hint="eastAsia" w:ascii="仿宋_GB2312" w:eastAsia="仿宋_GB2312"/>
          <w:sz w:val="32"/>
          <w:szCs w:val="32"/>
        </w:rPr>
        <w:t>万元，</w:t>
      </w:r>
      <w:r>
        <w:rPr>
          <w:rFonts w:ascii="仿宋_GB2312" w:eastAsia="仿宋_GB2312"/>
          <w:sz w:val="32"/>
          <w:szCs w:val="32"/>
        </w:rPr>
        <w:t>增加12.81</w:t>
      </w:r>
      <w:r>
        <w:rPr>
          <w:rFonts w:hint="eastAsia" w:ascii="仿宋_GB2312" w:eastAsia="仿宋_GB2312"/>
          <w:sz w:val="32"/>
          <w:szCs w:val="32"/>
        </w:rPr>
        <w:t>%，主要原因是：</w:t>
      </w:r>
      <w:r>
        <w:rPr>
          <w:rFonts w:hint="eastAsia" w:ascii="仿宋_GB2312" w:eastAsia="仿宋_GB2312"/>
          <w:sz w:val="32"/>
          <w:szCs w:val="32"/>
          <w:lang w:eastAsia="zh-CN"/>
        </w:rPr>
        <w:t>办公室维修，</w:t>
      </w:r>
      <w:r>
        <w:rPr>
          <w:rFonts w:hint="eastAsia" w:ascii="仿宋_GB2312" w:eastAsia="仿宋_GB2312"/>
          <w:sz w:val="32"/>
          <w:szCs w:val="32"/>
        </w:rPr>
        <w:t>项目支出增加</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430.06</w:t>
      </w:r>
      <w:r>
        <w:rPr>
          <w:rFonts w:hint="eastAsia" w:ascii="仿宋_GB2312" w:eastAsia="仿宋_GB2312"/>
          <w:sz w:val="32"/>
          <w:szCs w:val="32"/>
        </w:rPr>
        <w:t>万元，其中：财政拨款收入</w:t>
      </w:r>
      <w:r>
        <w:rPr>
          <w:rFonts w:ascii="仿宋_GB2312" w:eastAsia="仿宋_GB2312"/>
          <w:sz w:val="32"/>
          <w:szCs w:val="32"/>
        </w:rPr>
        <w:t>430.06</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%；附属单位上缴收入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2019年度本年支出</w:t>
      </w:r>
      <w:r>
        <w:rPr>
          <w:rFonts w:ascii="仿宋_GB2312" w:eastAsia="仿宋_GB2312"/>
          <w:sz w:val="32"/>
          <w:szCs w:val="32"/>
        </w:rPr>
        <w:t>364.17</w:t>
      </w:r>
      <w:r>
        <w:rPr>
          <w:rFonts w:hint="eastAsia" w:ascii="仿宋_GB2312" w:eastAsia="仿宋_GB2312"/>
          <w:sz w:val="32"/>
          <w:szCs w:val="32"/>
        </w:rPr>
        <w:t>万元，其中：基本支出</w:t>
      </w:r>
      <w:r>
        <w:rPr>
          <w:rFonts w:ascii="仿宋_GB2312" w:eastAsia="仿宋_GB2312"/>
          <w:sz w:val="32"/>
          <w:szCs w:val="32"/>
        </w:rPr>
        <w:t>294.06</w:t>
      </w:r>
      <w:r>
        <w:rPr>
          <w:rFonts w:hint="eastAsia" w:ascii="仿宋_GB2312" w:eastAsia="仿宋_GB2312"/>
          <w:sz w:val="32"/>
          <w:szCs w:val="32"/>
        </w:rPr>
        <w:t>万元，占</w:t>
      </w:r>
      <w:r>
        <w:rPr>
          <w:rFonts w:ascii="仿宋_GB2312" w:eastAsia="仿宋_GB2312"/>
          <w:sz w:val="32"/>
          <w:szCs w:val="32"/>
        </w:rPr>
        <w:t>80.75</w:t>
      </w:r>
      <w:r>
        <w:rPr>
          <w:rFonts w:hint="eastAsia" w:ascii="仿宋_GB2312" w:eastAsia="仿宋_GB2312"/>
          <w:sz w:val="32"/>
          <w:szCs w:val="32"/>
        </w:rPr>
        <w:t>%；项目支出</w:t>
      </w:r>
      <w:r>
        <w:rPr>
          <w:rFonts w:ascii="仿宋_GB2312" w:eastAsia="仿宋_GB2312"/>
          <w:sz w:val="32"/>
          <w:szCs w:val="32"/>
        </w:rPr>
        <w:t>70.11</w:t>
      </w:r>
      <w:r>
        <w:rPr>
          <w:rFonts w:hint="eastAsia" w:ascii="仿宋_GB2312" w:eastAsia="仿宋_GB2312"/>
          <w:sz w:val="32"/>
          <w:szCs w:val="32"/>
        </w:rPr>
        <w:t>万元，占</w:t>
      </w:r>
      <w:r>
        <w:rPr>
          <w:rFonts w:ascii="仿宋_GB2312" w:eastAsia="仿宋_GB2312"/>
          <w:sz w:val="32"/>
          <w:szCs w:val="32"/>
        </w:rPr>
        <w:t>19.25</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2019年度财政拨款收入</w:t>
      </w:r>
      <w:r>
        <w:rPr>
          <w:rFonts w:ascii="仿宋_GB2312" w:eastAsia="仿宋_GB2312"/>
          <w:sz w:val="32"/>
          <w:szCs w:val="32"/>
        </w:rPr>
        <w:t>430.06</w:t>
      </w:r>
      <w:r>
        <w:rPr>
          <w:rFonts w:hint="eastAsia" w:ascii="仿宋_GB2312" w:eastAsia="仿宋_GB2312"/>
          <w:sz w:val="32"/>
          <w:szCs w:val="32"/>
        </w:rPr>
        <w:t>万元，与上年相比，增加</w:t>
      </w:r>
      <w:r>
        <w:rPr>
          <w:rFonts w:ascii="仿宋_GB2312" w:eastAsia="仿宋_GB2312"/>
          <w:sz w:val="32"/>
          <w:szCs w:val="32"/>
        </w:rPr>
        <w:t>58.09</w:t>
      </w:r>
      <w:r>
        <w:rPr>
          <w:rFonts w:hint="eastAsia" w:ascii="仿宋_GB2312" w:eastAsia="仿宋_GB2312"/>
          <w:sz w:val="32"/>
          <w:szCs w:val="32"/>
        </w:rPr>
        <w:t>万元，增长</w:t>
      </w:r>
      <w:r>
        <w:rPr>
          <w:rFonts w:ascii="仿宋_GB2312" w:eastAsia="仿宋_GB2312"/>
          <w:sz w:val="32"/>
          <w:szCs w:val="32"/>
        </w:rPr>
        <w:t>15.62</w:t>
      </w:r>
      <w:r>
        <w:rPr>
          <w:rFonts w:hint="eastAsia" w:ascii="仿宋_GB2312" w:eastAsia="仿宋_GB2312"/>
          <w:sz w:val="32"/>
          <w:szCs w:val="32"/>
        </w:rPr>
        <w:t>%。主要原因是：</w:t>
      </w:r>
      <w:r>
        <w:rPr>
          <w:rFonts w:hint="eastAsia" w:ascii="仿宋_GB2312" w:eastAsia="仿宋_GB2312"/>
          <w:sz w:val="32"/>
          <w:szCs w:val="32"/>
          <w:lang w:eastAsia="zh-CN"/>
        </w:rPr>
        <w:t>办公室维修，</w:t>
      </w:r>
      <w:r>
        <w:rPr>
          <w:rFonts w:hint="eastAsia" w:ascii="仿宋_GB2312" w:eastAsia="仿宋_GB2312"/>
          <w:sz w:val="32"/>
          <w:szCs w:val="32"/>
        </w:rPr>
        <w:t>项目支出增加</w:t>
      </w:r>
      <w:r>
        <w:rPr>
          <w:rFonts w:hint="eastAsia" w:ascii="仿宋_GB2312" w:eastAsia="仿宋_GB2312"/>
          <w:sz w:val="32"/>
          <w:szCs w:val="32"/>
        </w:rPr>
        <w:t>。财政拨款支出</w:t>
      </w:r>
      <w:r>
        <w:rPr>
          <w:rFonts w:ascii="仿宋_GB2312" w:eastAsia="仿宋_GB2312"/>
          <w:sz w:val="32"/>
          <w:szCs w:val="32"/>
        </w:rPr>
        <w:t>364.17</w:t>
      </w:r>
      <w:r>
        <w:rPr>
          <w:rFonts w:hint="eastAsia" w:ascii="仿宋_GB2312" w:eastAsia="仿宋_GB2312"/>
          <w:sz w:val="32"/>
          <w:szCs w:val="32"/>
        </w:rPr>
        <w:t>万元，与上年相比，增加</w:t>
      </w:r>
      <w:r>
        <w:rPr>
          <w:rFonts w:ascii="仿宋_GB2312" w:eastAsia="仿宋_GB2312"/>
          <w:sz w:val="32"/>
          <w:szCs w:val="32"/>
        </w:rPr>
        <w:t>42.84</w:t>
      </w:r>
      <w:r>
        <w:rPr>
          <w:rFonts w:hint="eastAsia" w:ascii="仿宋_GB2312" w:eastAsia="仿宋_GB2312"/>
          <w:sz w:val="32"/>
          <w:szCs w:val="32"/>
        </w:rPr>
        <w:t>万元，增长</w:t>
      </w:r>
      <w:r>
        <w:rPr>
          <w:rFonts w:ascii="仿宋_GB2312" w:eastAsia="仿宋_GB2312"/>
          <w:sz w:val="32"/>
          <w:szCs w:val="32"/>
        </w:rPr>
        <w:t>13.33</w:t>
      </w:r>
      <w:r>
        <w:rPr>
          <w:rFonts w:hint="eastAsia" w:ascii="仿宋_GB2312" w:eastAsia="仿宋_GB2312"/>
          <w:sz w:val="32"/>
          <w:szCs w:val="32"/>
        </w:rPr>
        <w:t>%，主要原因是：</w:t>
      </w:r>
      <w:r>
        <w:rPr>
          <w:rFonts w:hint="eastAsia" w:ascii="仿宋_GB2312" w:eastAsia="仿宋_GB2312"/>
          <w:sz w:val="32"/>
          <w:szCs w:val="32"/>
          <w:lang w:eastAsia="zh-CN"/>
        </w:rPr>
        <w:t>办公室维修，</w:t>
      </w:r>
      <w:r>
        <w:rPr>
          <w:rFonts w:hint="eastAsia" w:ascii="仿宋_GB2312" w:eastAsia="仿宋_GB2312"/>
          <w:sz w:val="32"/>
          <w:szCs w:val="32"/>
        </w:rPr>
        <w:t>项目支出增加</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237.13</w:t>
      </w:r>
      <w:r>
        <w:rPr>
          <w:rFonts w:hint="eastAsia" w:ascii="仿宋_GB2312" w:eastAsia="仿宋_GB2312"/>
          <w:sz w:val="32"/>
          <w:szCs w:val="32"/>
        </w:rPr>
        <w:t>万元，决算数</w:t>
      </w:r>
      <w:r>
        <w:rPr>
          <w:rFonts w:ascii="仿宋_GB2312" w:eastAsia="仿宋_GB2312"/>
          <w:sz w:val="32"/>
          <w:szCs w:val="32"/>
        </w:rPr>
        <w:t>430.06</w:t>
      </w:r>
      <w:r>
        <w:rPr>
          <w:rFonts w:hint="eastAsia" w:ascii="仿宋_GB2312" w:eastAsia="仿宋_GB2312"/>
          <w:sz w:val="32"/>
          <w:szCs w:val="32"/>
        </w:rPr>
        <w:t>万元，预决算差异率</w:t>
      </w:r>
      <w:r>
        <w:rPr>
          <w:rFonts w:ascii="仿宋_GB2312" w:eastAsia="仿宋_GB2312"/>
          <w:sz w:val="32"/>
          <w:szCs w:val="32"/>
        </w:rPr>
        <w:t>81.36</w:t>
      </w:r>
      <w:r>
        <w:rPr>
          <w:rFonts w:hint="eastAsia" w:ascii="仿宋_GB2312" w:eastAsia="仿宋_GB2312"/>
          <w:sz w:val="32"/>
          <w:szCs w:val="32"/>
        </w:rPr>
        <w:t>%，主要原因是：</w:t>
      </w:r>
      <w:r>
        <w:rPr>
          <w:rFonts w:hint="eastAsia" w:ascii="仿宋_GB2312" w:eastAsia="仿宋_GB2312"/>
          <w:sz w:val="32"/>
          <w:szCs w:val="32"/>
          <w:lang w:val="en-US" w:eastAsia="zh-CN"/>
        </w:rPr>
        <w:t>预算只安排了单位的运转经费项目，在预算执行过程中追加了项目资金</w:t>
      </w:r>
      <w:r>
        <w:rPr>
          <w:rFonts w:hint="eastAsia" w:ascii="仿宋_GB2312" w:eastAsia="仿宋_GB2312"/>
          <w:sz w:val="32"/>
          <w:szCs w:val="32"/>
        </w:rPr>
        <w:t>。财政拨款支出年初预算数</w:t>
      </w:r>
      <w:r>
        <w:rPr>
          <w:rFonts w:ascii="仿宋_GB2312" w:eastAsia="仿宋_GB2312"/>
          <w:sz w:val="32"/>
          <w:szCs w:val="32"/>
        </w:rPr>
        <w:t>237.13</w:t>
      </w:r>
      <w:r>
        <w:rPr>
          <w:rFonts w:hint="eastAsia" w:ascii="仿宋_GB2312" w:eastAsia="仿宋_GB2312"/>
          <w:sz w:val="32"/>
          <w:szCs w:val="32"/>
        </w:rPr>
        <w:t>万元，决算数</w:t>
      </w:r>
      <w:r>
        <w:rPr>
          <w:rFonts w:ascii="仿宋_GB2312" w:eastAsia="仿宋_GB2312"/>
          <w:sz w:val="32"/>
          <w:szCs w:val="32"/>
        </w:rPr>
        <w:t>364.17</w:t>
      </w:r>
      <w:r>
        <w:rPr>
          <w:rFonts w:hint="eastAsia" w:ascii="仿宋_GB2312" w:eastAsia="仿宋_GB2312"/>
          <w:sz w:val="32"/>
          <w:szCs w:val="32"/>
        </w:rPr>
        <w:t>万元，预决算差异率</w:t>
      </w:r>
      <w:r>
        <w:rPr>
          <w:rFonts w:ascii="仿宋_GB2312" w:eastAsia="仿宋_GB2312"/>
          <w:sz w:val="32"/>
          <w:szCs w:val="32"/>
        </w:rPr>
        <w:t>53.58</w:t>
      </w:r>
      <w:r>
        <w:rPr>
          <w:rFonts w:hint="eastAsia" w:ascii="仿宋_GB2312" w:eastAsia="仿宋_GB2312"/>
          <w:sz w:val="32"/>
          <w:szCs w:val="32"/>
        </w:rPr>
        <w:t>%，主要原因是：</w:t>
      </w:r>
      <w:r>
        <w:rPr>
          <w:rFonts w:hint="eastAsia" w:ascii="仿宋_GB2312" w:eastAsia="仿宋_GB2312"/>
          <w:sz w:val="32"/>
          <w:szCs w:val="32"/>
          <w:lang w:val="en-US" w:eastAsia="zh-CN"/>
        </w:rPr>
        <w:t>预算只安排了单位的运转经费项目，在预算执行过程中追加了项目资金</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2019年度一般公共预算财政拨款支出</w:t>
      </w:r>
      <w:r>
        <w:rPr>
          <w:rFonts w:ascii="仿宋_GB2312" w:eastAsia="仿宋_GB2312"/>
          <w:sz w:val="32"/>
          <w:szCs w:val="32"/>
        </w:rPr>
        <w:t>364.17</w:t>
      </w:r>
      <w:r>
        <w:rPr>
          <w:rFonts w:hint="eastAsia" w:ascii="仿宋_GB2312" w:eastAsia="仿宋_GB2312"/>
          <w:sz w:val="32"/>
          <w:szCs w:val="32"/>
        </w:rPr>
        <w:t>万元。按功能分类科目项级科目公开，其中：</w:t>
      </w:r>
    </w:p>
    <w:p>
      <w:pPr>
        <w:ind w:firstLine="640" w:firstLineChars="200"/>
        <w:rPr>
          <w:rFonts w:hint="eastAsia" w:ascii="仿宋_GB2312" w:eastAsia="仿宋_GB2312"/>
          <w:sz w:val="32"/>
          <w:szCs w:val="32"/>
        </w:rPr>
      </w:pPr>
      <w:r>
        <w:rPr>
          <w:rFonts w:hint="eastAsia" w:ascii="仿宋_GB2312" w:eastAsia="仿宋_GB2312"/>
          <w:sz w:val="32"/>
          <w:szCs w:val="32"/>
        </w:rPr>
        <w:t>2040601行政运行192.34万元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2040607法律援助8.30万元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2040699其他司法支出61.81万元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2080501归口管理的行政单位离退休41.75万元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2080505机关事业单位基本养老保险缴费支出23.53万元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2080506机关事业单位职业年金缴费支出8.91万元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2101101行政单位医疗19.41万元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2210201住房公积金8.13万元</w:t>
      </w:r>
      <w:r>
        <w:rPr>
          <w:rFonts w:hint="eastAsia" w:ascii="仿宋_GB2312" w:eastAsia="仿宋_GB2312"/>
          <w:sz w:val="32"/>
          <w:szCs w:val="32"/>
          <w:lang w:eastAsia="zh-CN"/>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2019年度一般公共预算财政拨款基本支出</w:t>
      </w:r>
      <w:r>
        <w:rPr>
          <w:rFonts w:ascii="仿宋_GB2312" w:eastAsia="仿宋_GB2312"/>
          <w:sz w:val="32"/>
          <w:szCs w:val="32"/>
        </w:rPr>
        <w:t>294.06</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246.08</w:t>
      </w:r>
      <w:r>
        <w:rPr>
          <w:rFonts w:hint="eastAsia" w:ascii="仿宋_GB2312" w:eastAsia="仿宋_GB2312"/>
          <w:sz w:val="32"/>
          <w:szCs w:val="32"/>
        </w:rPr>
        <w:t>万元，包括：基本工资，津贴补贴，奖金，机关事业单位基本养老保险缴费，职业年金缴费，职工基本养老保险缴费，住房公积金，其他工资福利支出，离休费，退休费，抚恤金，生活补助，奖励金。</w:t>
      </w:r>
    </w:p>
    <w:p>
      <w:pPr>
        <w:ind w:firstLine="640" w:firstLineChars="200"/>
        <w:rPr>
          <w:rFonts w:ascii="仿宋_GB2312" w:eastAsia="仿宋_GB2312"/>
          <w:sz w:val="32"/>
          <w:szCs w:val="32"/>
        </w:rPr>
      </w:pPr>
      <w:r>
        <w:rPr>
          <w:rFonts w:hint="eastAsia" w:ascii="仿宋_GB2312" w:eastAsia="仿宋_GB2312"/>
          <w:sz w:val="32"/>
          <w:szCs w:val="32"/>
        </w:rPr>
        <w:t>公用经费</w:t>
      </w:r>
      <w:r>
        <w:rPr>
          <w:rFonts w:ascii="仿宋_GB2312" w:eastAsia="仿宋_GB2312"/>
          <w:sz w:val="32"/>
          <w:szCs w:val="32"/>
        </w:rPr>
        <w:t>47.98</w:t>
      </w:r>
      <w:r>
        <w:rPr>
          <w:rFonts w:hint="eastAsia" w:ascii="仿宋_GB2312" w:eastAsia="仿宋_GB2312"/>
          <w:sz w:val="32"/>
          <w:szCs w:val="32"/>
        </w:rPr>
        <w:t>万元，包括：办公费，印刷费，邮电费，取暖费，差旅费，公务接待费，公务车运行维护费。</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2019年度一般公共预算“三公”经费支出决算</w:t>
      </w:r>
      <w:r>
        <w:rPr>
          <w:rFonts w:ascii="仿宋_GB2312" w:eastAsia="仿宋_GB2312"/>
          <w:sz w:val="32"/>
          <w:szCs w:val="32"/>
        </w:rPr>
        <w:t>8.13</w:t>
      </w:r>
      <w:r>
        <w:rPr>
          <w:rFonts w:hint="eastAsia" w:ascii="仿宋_GB2312" w:eastAsia="仿宋_GB2312"/>
          <w:sz w:val="32"/>
          <w:szCs w:val="32"/>
        </w:rPr>
        <w:t>万元，比上年减少</w:t>
      </w:r>
      <w:r>
        <w:rPr>
          <w:rFonts w:ascii="仿宋_GB2312" w:eastAsia="仿宋_GB2312"/>
          <w:sz w:val="32"/>
          <w:szCs w:val="32"/>
        </w:rPr>
        <w:t>0.11</w:t>
      </w:r>
      <w:r>
        <w:rPr>
          <w:rFonts w:hint="eastAsia" w:ascii="仿宋_GB2312" w:eastAsia="仿宋_GB2312"/>
          <w:sz w:val="32"/>
          <w:szCs w:val="32"/>
        </w:rPr>
        <w:t>万元，降低</w:t>
      </w:r>
      <w:r>
        <w:rPr>
          <w:rFonts w:ascii="仿宋_GB2312" w:eastAsia="仿宋_GB2312"/>
          <w:sz w:val="32"/>
          <w:szCs w:val="32"/>
        </w:rPr>
        <w:t>1.37</w:t>
      </w:r>
      <w:r>
        <w:rPr>
          <w:rFonts w:hint="eastAsia" w:ascii="仿宋_GB2312" w:eastAsia="仿宋_GB2312"/>
          <w:sz w:val="32"/>
          <w:szCs w:val="32"/>
        </w:rPr>
        <w:t>%，主要原因是：厉行节约，压减开支。其中，因公出国（境）费支出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%，主要原因：是无此项开支；公务用车购置及运行维护费支出</w:t>
      </w:r>
      <w:r>
        <w:rPr>
          <w:rFonts w:ascii="仿宋_GB2312" w:eastAsia="仿宋_GB2312"/>
          <w:sz w:val="32"/>
          <w:szCs w:val="32"/>
        </w:rPr>
        <w:t>7.5</w:t>
      </w:r>
      <w:r>
        <w:rPr>
          <w:rFonts w:hint="eastAsia" w:ascii="仿宋_GB2312" w:eastAsia="仿宋_GB2312"/>
          <w:sz w:val="32"/>
          <w:szCs w:val="32"/>
        </w:rPr>
        <w:t>万元，占</w:t>
      </w:r>
      <w:r>
        <w:rPr>
          <w:rFonts w:ascii="仿宋_GB2312" w:eastAsia="仿宋_GB2312"/>
          <w:sz w:val="32"/>
          <w:szCs w:val="32"/>
        </w:rPr>
        <w:t>92.25</w:t>
      </w:r>
      <w:r>
        <w:rPr>
          <w:rFonts w:hint="eastAsia" w:ascii="仿宋_GB2312" w:eastAsia="仿宋_GB2312"/>
          <w:sz w:val="32"/>
          <w:szCs w:val="32"/>
        </w:rPr>
        <w:t>%，比上年减少</w:t>
      </w:r>
      <w:r>
        <w:rPr>
          <w:rFonts w:ascii="仿宋_GB2312" w:eastAsia="仿宋_GB2312"/>
          <w:sz w:val="32"/>
          <w:szCs w:val="32"/>
        </w:rPr>
        <w:t>0.01</w:t>
      </w:r>
      <w:r>
        <w:rPr>
          <w:rFonts w:hint="eastAsia" w:ascii="仿宋_GB2312" w:eastAsia="仿宋_GB2312"/>
          <w:sz w:val="32"/>
          <w:szCs w:val="32"/>
        </w:rPr>
        <w:t>万元，降低</w:t>
      </w:r>
      <w:r>
        <w:rPr>
          <w:rFonts w:ascii="仿宋_GB2312" w:eastAsia="仿宋_GB2312"/>
          <w:sz w:val="32"/>
          <w:szCs w:val="32"/>
        </w:rPr>
        <w:t>0.16</w:t>
      </w:r>
      <w:r>
        <w:rPr>
          <w:rFonts w:hint="eastAsia" w:ascii="仿宋_GB2312" w:eastAsia="仿宋_GB2312"/>
          <w:sz w:val="32"/>
          <w:szCs w:val="32"/>
        </w:rPr>
        <w:t>%，主要原因是：厉行节约，压减开支。；公务接待费支出</w:t>
      </w:r>
      <w:r>
        <w:rPr>
          <w:rFonts w:ascii="仿宋_GB2312" w:eastAsia="仿宋_GB2312"/>
          <w:sz w:val="32"/>
          <w:szCs w:val="32"/>
        </w:rPr>
        <w:t>0.63</w:t>
      </w:r>
      <w:r>
        <w:rPr>
          <w:rFonts w:hint="eastAsia" w:ascii="仿宋_GB2312" w:eastAsia="仿宋_GB2312"/>
          <w:sz w:val="32"/>
          <w:szCs w:val="32"/>
        </w:rPr>
        <w:t>万元，占</w:t>
      </w:r>
      <w:r>
        <w:rPr>
          <w:rFonts w:ascii="仿宋_GB2312" w:eastAsia="仿宋_GB2312"/>
          <w:sz w:val="32"/>
          <w:szCs w:val="32"/>
        </w:rPr>
        <w:t>7.75</w:t>
      </w:r>
      <w:r>
        <w:rPr>
          <w:rFonts w:hint="eastAsia" w:ascii="仿宋_GB2312" w:eastAsia="仿宋_GB2312"/>
          <w:sz w:val="32"/>
          <w:szCs w:val="32"/>
        </w:rPr>
        <w:t>%，比上年降低</w:t>
      </w:r>
      <w:r>
        <w:rPr>
          <w:rFonts w:ascii="仿宋_GB2312" w:eastAsia="仿宋_GB2312"/>
          <w:sz w:val="32"/>
          <w:szCs w:val="32"/>
        </w:rPr>
        <w:t>0.1</w:t>
      </w:r>
      <w:r>
        <w:rPr>
          <w:rFonts w:hint="eastAsia" w:ascii="仿宋_GB2312" w:eastAsia="仿宋_GB2312"/>
          <w:sz w:val="32"/>
          <w:szCs w:val="32"/>
        </w:rPr>
        <w:t>万元，降低</w:t>
      </w:r>
      <w:r>
        <w:rPr>
          <w:rFonts w:ascii="仿宋_GB2312" w:eastAsia="仿宋_GB2312"/>
          <w:sz w:val="32"/>
          <w:szCs w:val="32"/>
        </w:rPr>
        <w:t>13.82</w:t>
      </w:r>
      <w:r>
        <w:rPr>
          <w:rFonts w:hint="eastAsia" w:ascii="仿宋_GB2312" w:eastAsia="仿宋_GB2312"/>
          <w:sz w:val="32"/>
          <w:szCs w:val="32"/>
        </w:rPr>
        <w:t>%，主要原因是：厉行节约，压减开支。具体情况如下：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万元，开支内容包括：无此项开支。单位全年安排的因公出国（境）团组0个，因公出国（境）0人次。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7.5</w:t>
      </w:r>
      <w:r>
        <w:rPr>
          <w:rFonts w:hint="eastAsia" w:ascii="仿宋_GB2312" w:eastAsia="仿宋_GB2312"/>
          <w:sz w:val="32"/>
          <w:szCs w:val="32"/>
        </w:rPr>
        <w:t>万元，其中，公务用车购置费</w:t>
      </w:r>
      <w:r>
        <w:rPr>
          <w:rFonts w:ascii="仿宋_GB2312" w:eastAsia="仿宋_GB2312"/>
          <w:sz w:val="32"/>
          <w:szCs w:val="32"/>
        </w:rPr>
        <w:t>0</w:t>
      </w:r>
      <w:r>
        <w:rPr>
          <w:rFonts w:hint="eastAsia" w:ascii="仿宋_GB2312" w:eastAsia="仿宋_GB2312"/>
          <w:sz w:val="32"/>
          <w:szCs w:val="32"/>
        </w:rPr>
        <w:t>万元，公务用车运行维护费</w:t>
      </w:r>
      <w:r>
        <w:rPr>
          <w:rFonts w:ascii="仿宋_GB2312" w:eastAsia="仿宋_GB2312"/>
          <w:sz w:val="32"/>
          <w:szCs w:val="32"/>
        </w:rPr>
        <w:t>7.5</w:t>
      </w:r>
      <w:r>
        <w:rPr>
          <w:rFonts w:hint="eastAsia" w:ascii="仿宋_GB2312" w:eastAsia="仿宋_GB2312"/>
          <w:sz w:val="32"/>
          <w:szCs w:val="32"/>
        </w:rPr>
        <w:t>万元。公务用车运行维护费开支内容包括：公务车油费，维修费，保险费等。公务用车购置数</w:t>
      </w:r>
      <w:r>
        <w:rPr>
          <w:rFonts w:ascii="仿宋_GB2312" w:eastAsia="仿宋_GB2312"/>
          <w:sz w:val="32"/>
          <w:szCs w:val="32"/>
        </w:rPr>
        <w:t>0</w:t>
      </w:r>
      <w:r>
        <w:rPr>
          <w:rFonts w:hint="eastAsia" w:ascii="仿宋_GB2312" w:eastAsia="仿宋_GB2312"/>
          <w:sz w:val="32"/>
          <w:szCs w:val="32"/>
        </w:rPr>
        <w:t>辆，公务用车保有量</w:t>
      </w:r>
      <w:r>
        <w:rPr>
          <w:rFonts w:ascii="仿宋_GB2312" w:eastAsia="仿宋_GB2312"/>
          <w:sz w:val="32"/>
          <w:szCs w:val="32"/>
        </w:rPr>
        <w:t>8</w:t>
      </w:r>
      <w:r>
        <w:rPr>
          <w:rFonts w:hint="eastAsia" w:ascii="仿宋_GB2312" w:eastAsia="仿宋_GB2312"/>
          <w:sz w:val="32"/>
          <w:szCs w:val="32"/>
        </w:rPr>
        <w:t>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0.63</w:t>
      </w:r>
      <w:r>
        <w:rPr>
          <w:rFonts w:hint="eastAsia" w:ascii="仿宋_GB2312" w:eastAsia="仿宋_GB2312"/>
          <w:sz w:val="32"/>
          <w:szCs w:val="32"/>
        </w:rPr>
        <w:t>万元，开支内容包括：接待就餐费。单位全年安排的国内公务接待</w:t>
      </w:r>
      <w:r>
        <w:rPr>
          <w:rFonts w:ascii="仿宋_GB2312" w:eastAsia="仿宋_GB2312"/>
          <w:sz w:val="32"/>
          <w:szCs w:val="32"/>
        </w:rPr>
        <w:t>14</w:t>
      </w:r>
      <w:r>
        <w:rPr>
          <w:rFonts w:hint="eastAsia" w:ascii="仿宋_GB2312" w:eastAsia="仿宋_GB2312"/>
          <w:sz w:val="32"/>
          <w:szCs w:val="32"/>
        </w:rPr>
        <w:t>批次，</w:t>
      </w:r>
      <w:r>
        <w:rPr>
          <w:rFonts w:ascii="仿宋_GB2312" w:eastAsia="仿宋_GB2312"/>
          <w:sz w:val="32"/>
          <w:szCs w:val="32"/>
        </w:rPr>
        <w:t>132</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w:t>
      </w:r>
      <w:r>
        <w:rPr>
          <w:rFonts w:ascii="仿宋_GB2312" w:eastAsia="仿宋_GB2312"/>
          <w:sz w:val="32"/>
          <w:szCs w:val="32"/>
        </w:rPr>
        <w:t>8.13</w:t>
      </w:r>
      <w:r>
        <w:rPr>
          <w:rFonts w:hint="eastAsia" w:ascii="仿宋_GB2312" w:eastAsia="仿宋_GB2312"/>
          <w:sz w:val="32"/>
          <w:szCs w:val="32"/>
        </w:rPr>
        <w:t>万元，决算数</w:t>
      </w:r>
      <w:r>
        <w:rPr>
          <w:rFonts w:ascii="仿宋_GB2312" w:eastAsia="仿宋_GB2312"/>
          <w:sz w:val="32"/>
          <w:szCs w:val="32"/>
        </w:rPr>
        <w:t>8.13</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%，主要原因是：严格按照预算执行。</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w:t>
      </w:r>
      <w:bookmarkStart w:id="0" w:name="_GoBack"/>
      <w:bookmarkEnd w:id="0"/>
      <w:r>
        <w:rPr>
          <w:rFonts w:hint="eastAsia" w:ascii="仿宋_GB2312" w:eastAsia="仿宋_GB2312"/>
          <w:sz w:val="32"/>
          <w:szCs w:val="32"/>
        </w:rPr>
        <w:t>决算差异率0%，主要原因是：无此项开支；</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ascii="仿宋_GB2312" w:eastAsia="仿宋_GB2312"/>
          <w:sz w:val="32"/>
          <w:szCs w:val="32"/>
        </w:rPr>
        <w:t>7.5</w:t>
      </w:r>
      <w:r>
        <w:rPr>
          <w:rFonts w:hint="eastAsia" w:ascii="仿宋_GB2312" w:eastAsia="仿宋_GB2312"/>
          <w:sz w:val="32"/>
          <w:szCs w:val="32"/>
        </w:rPr>
        <w:t>万元，决算数</w:t>
      </w:r>
      <w:r>
        <w:rPr>
          <w:rFonts w:ascii="仿宋_GB2312" w:eastAsia="仿宋_GB2312"/>
          <w:sz w:val="32"/>
          <w:szCs w:val="32"/>
        </w:rPr>
        <w:t>7.5</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%，主要原因是：严格按照预算执行；</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0.63</w:t>
      </w:r>
      <w:r>
        <w:rPr>
          <w:rFonts w:hint="eastAsia" w:ascii="仿宋_GB2312" w:eastAsia="仿宋_GB2312"/>
          <w:sz w:val="32"/>
          <w:szCs w:val="32"/>
        </w:rPr>
        <w:t>万元，决算数</w:t>
      </w:r>
      <w:r>
        <w:rPr>
          <w:rFonts w:ascii="仿宋_GB2312" w:eastAsia="仿宋_GB2312"/>
          <w:sz w:val="32"/>
          <w:szCs w:val="32"/>
        </w:rPr>
        <w:t>0.63</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%，主要原因是：严格按照预算执行。</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八、政府性基金预算收入支出决算情况说明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九、其他重要事项的情况说明</w:t>
      </w:r>
    </w:p>
    <w:p>
      <w:pPr>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pPr>
        <w:ind w:firstLine="640" w:firstLineChars="200"/>
        <w:rPr>
          <w:rFonts w:ascii="仿宋_GB2312" w:eastAsia="仿宋_GB2312"/>
          <w:sz w:val="32"/>
          <w:szCs w:val="32"/>
        </w:rPr>
      </w:pPr>
      <w:r>
        <w:rPr>
          <w:rFonts w:hint="eastAsia" w:ascii="仿宋_GB2312" w:eastAsia="仿宋_GB2312"/>
          <w:sz w:val="32"/>
          <w:szCs w:val="32"/>
        </w:rPr>
        <w:t>2019年度</w:t>
      </w:r>
      <w:r>
        <w:rPr>
          <w:rFonts w:ascii="仿宋_GB2312" w:eastAsia="仿宋_GB2312"/>
          <w:sz w:val="32"/>
          <w:szCs w:val="32"/>
        </w:rPr>
        <w:t>新疆伊犁州霍城县司法局</w:t>
      </w:r>
      <w:r>
        <w:rPr>
          <w:rFonts w:hint="eastAsia" w:ascii="仿宋_GB2312" w:eastAsia="仿宋_GB2312"/>
          <w:sz w:val="32"/>
          <w:szCs w:val="32"/>
        </w:rPr>
        <w:t>（行政单位）机关运行经费支出</w:t>
      </w:r>
      <w:r>
        <w:rPr>
          <w:rFonts w:ascii="仿宋_GB2312" w:eastAsia="仿宋_GB2312"/>
          <w:sz w:val="32"/>
          <w:szCs w:val="32"/>
        </w:rPr>
        <w:t>47.98</w:t>
      </w:r>
      <w:r>
        <w:rPr>
          <w:rFonts w:hint="eastAsia" w:ascii="仿宋_GB2312" w:eastAsia="仿宋_GB2312"/>
          <w:sz w:val="32"/>
          <w:szCs w:val="32"/>
        </w:rPr>
        <w:t>万元，比上年减少</w:t>
      </w:r>
      <w:r>
        <w:rPr>
          <w:rFonts w:ascii="仿宋_GB2312" w:eastAsia="仿宋_GB2312"/>
          <w:sz w:val="32"/>
          <w:szCs w:val="32"/>
        </w:rPr>
        <w:t>0.13</w:t>
      </w:r>
      <w:r>
        <w:rPr>
          <w:rFonts w:hint="eastAsia" w:ascii="仿宋_GB2312" w:eastAsia="仿宋_GB2312"/>
          <w:sz w:val="32"/>
          <w:szCs w:val="32"/>
        </w:rPr>
        <w:t>万元，降低</w:t>
      </w:r>
      <w:r>
        <w:rPr>
          <w:rFonts w:ascii="仿宋_GB2312" w:eastAsia="仿宋_GB2312"/>
          <w:sz w:val="32"/>
          <w:szCs w:val="32"/>
        </w:rPr>
        <w:t>0.27</w:t>
      </w:r>
      <w:r>
        <w:rPr>
          <w:rFonts w:hint="eastAsia" w:ascii="仿宋_GB2312" w:eastAsia="仿宋_GB2312"/>
          <w:sz w:val="32"/>
          <w:szCs w:val="32"/>
        </w:rPr>
        <w:t>%，主要原因是：厉行节约，压减开支。</w:t>
      </w:r>
    </w:p>
    <w:p>
      <w:pPr>
        <w:ind w:firstLine="640" w:firstLineChars="200"/>
        <w:outlineLvl w:val="2"/>
        <w:rPr>
          <w:rFonts w:ascii="黑体" w:hAnsi="黑体" w:eastAsia="黑体"/>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2019年度政府采购支出总额</w:t>
      </w:r>
      <w:r>
        <w:rPr>
          <w:rFonts w:ascii="仿宋_GB2312" w:eastAsia="仿宋_GB2312"/>
          <w:sz w:val="32"/>
          <w:szCs w:val="32"/>
        </w:rPr>
        <w:t>0</w:t>
      </w:r>
      <w:r>
        <w:rPr>
          <w:rFonts w:hint="eastAsia" w:ascii="仿宋_GB2312" w:eastAsia="仿宋_GB2312"/>
          <w:sz w:val="32"/>
          <w:szCs w:val="32"/>
        </w:rPr>
        <w:t>万元，其中：政府采购货物支出</w:t>
      </w:r>
      <w:r>
        <w:rPr>
          <w:rFonts w:ascii="仿宋_GB2312" w:eastAsia="仿宋_GB2312"/>
          <w:sz w:val="32"/>
          <w:szCs w:val="32"/>
        </w:rPr>
        <w:t>0</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（三）国有资产占用情况说明</w:t>
      </w:r>
    </w:p>
    <w:p>
      <w:pPr>
        <w:ind w:firstLine="640" w:firstLineChars="200"/>
        <w:rPr>
          <w:rFonts w:ascii="仿宋_GB2312" w:eastAsia="仿宋_GB2312"/>
          <w:sz w:val="32"/>
          <w:szCs w:val="32"/>
        </w:rPr>
      </w:pPr>
      <w:r>
        <w:rPr>
          <w:rFonts w:hint="eastAsia" w:ascii="仿宋_GB2312" w:eastAsia="仿宋_GB2312"/>
          <w:sz w:val="32"/>
          <w:szCs w:val="32"/>
        </w:rPr>
        <w:t>截止2019年12月31日，单位共有房屋</w:t>
      </w:r>
      <w:r>
        <w:rPr>
          <w:rFonts w:ascii="仿宋_GB2312" w:eastAsia="仿宋_GB2312"/>
          <w:sz w:val="32"/>
          <w:szCs w:val="32"/>
        </w:rPr>
        <w:t>2824.08</w:t>
      </w:r>
      <w:r>
        <w:rPr>
          <w:rFonts w:hint="eastAsia" w:ascii="仿宋_GB2312" w:eastAsia="仿宋_GB2312"/>
          <w:sz w:val="32"/>
          <w:szCs w:val="32"/>
        </w:rPr>
        <w:t>（平方米），价值</w:t>
      </w:r>
      <w:r>
        <w:rPr>
          <w:rFonts w:ascii="仿宋_GB2312" w:eastAsia="仿宋_GB2312"/>
          <w:sz w:val="32"/>
          <w:szCs w:val="32"/>
        </w:rPr>
        <w:t>489.28</w:t>
      </w:r>
      <w:r>
        <w:rPr>
          <w:rFonts w:hint="eastAsia" w:ascii="仿宋_GB2312" w:eastAsia="仿宋_GB2312"/>
          <w:sz w:val="32"/>
          <w:szCs w:val="32"/>
        </w:rPr>
        <w:t>万元。车辆</w:t>
      </w:r>
      <w:r>
        <w:rPr>
          <w:rFonts w:ascii="仿宋_GB2312" w:eastAsia="仿宋_GB2312"/>
          <w:sz w:val="32"/>
          <w:szCs w:val="32"/>
        </w:rPr>
        <w:t>8</w:t>
      </w:r>
      <w:r>
        <w:rPr>
          <w:rFonts w:hint="eastAsia" w:ascii="仿宋_GB2312" w:eastAsia="仿宋_GB2312"/>
          <w:sz w:val="32"/>
          <w:szCs w:val="32"/>
        </w:rPr>
        <w:t>辆，价值</w:t>
      </w:r>
      <w:r>
        <w:rPr>
          <w:rFonts w:ascii="仿宋_GB2312" w:eastAsia="仿宋_GB2312"/>
          <w:sz w:val="32"/>
          <w:szCs w:val="32"/>
        </w:rPr>
        <w:t>115.48</w:t>
      </w:r>
      <w:r>
        <w:rPr>
          <w:rFonts w:hint="eastAsia" w:ascii="仿宋_GB2312" w:eastAsia="仿宋_GB2312"/>
          <w:sz w:val="32"/>
          <w:szCs w:val="32"/>
        </w:rPr>
        <w:t>万元，其中：副部（省）级及以上领导用车</w:t>
      </w:r>
      <w:r>
        <w:rPr>
          <w:rFonts w:ascii="仿宋_GB2312" w:eastAsia="仿宋_GB2312"/>
          <w:sz w:val="32"/>
          <w:szCs w:val="32"/>
        </w:rPr>
        <w:t>0</w:t>
      </w:r>
      <w:r>
        <w:rPr>
          <w:rFonts w:hint="eastAsia" w:ascii="仿宋_GB2312" w:eastAsia="仿宋_GB2312"/>
          <w:sz w:val="32"/>
          <w:szCs w:val="32"/>
        </w:rPr>
        <w:t>辆、主要领导干部用车</w:t>
      </w:r>
      <w:r>
        <w:rPr>
          <w:rFonts w:ascii="仿宋_GB2312" w:eastAsia="仿宋_GB2312"/>
          <w:sz w:val="32"/>
          <w:szCs w:val="32"/>
        </w:rPr>
        <w:t>0</w:t>
      </w:r>
      <w:r>
        <w:rPr>
          <w:rFonts w:hint="eastAsia" w:ascii="仿宋_GB2312" w:eastAsia="仿宋_GB2312"/>
          <w:sz w:val="32"/>
          <w:szCs w:val="32"/>
        </w:rPr>
        <w:t>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7</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1</w:t>
      </w:r>
      <w:r>
        <w:rPr>
          <w:rFonts w:hint="eastAsia" w:ascii="仿宋_GB2312" w:eastAsia="仿宋_GB2312"/>
          <w:sz w:val="32"/>
          <w:szCs w:val="32"/>
        </w:rPr>
        <w:t>辆，其他用车主要是：一般公务用车；单位价值50万元以上通用设备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十、预算绩效的情况说明</w:t>
      </w:r>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2019年度开展预算绩效评价项目1个，共涉及资金165万元。预算绩效管理取得的成效：司法行政整体工作以及矛盾纠纷排查化解能力、法律援助结案率稳步提升。发现的问题及原因：资金使用速度慢，存在应付未付现象。下一步改进措施：拓展基层相关司法行政业务，放宽法律援助条件，加大司法行政工作宣传，对应付相关款项在项目验收合格后及时支付。具体项目自评情况附项目支出绩效自评表。</w:t>
      </w:r>
    </w:p>
    <w:tbl>
      <w:tblPr>
        <w:tblStyle w:val="9"/>
        <w:tblW w:w="9080" w:type="dxa"/>
        <w:jc w:val="center"/>
        <w:tblInd w:w="0" w:type="dxa"/>
        <w:tblLayout w:type="fixed"/>
        <w:tblCellMar>
          <w:top w:w="0" w:type="dxa"/>
          <w:left w:w="108" w:type="dxa"/>
          <w:bottom w:w="0" w:type="dxa"/>
          <w:right w:w="108" w:type="dxa"/>
        </w:tblCellMar>
      </w:tblPr>
      <w:tblGrid>
        <w:gridCol w:w="588"/>
        <w:gridCol w:w="637"/>
        <w:gridCol w:w="1095"/>
        <w:gridCol w:w="1090"/>
        <w:gridCol w:w="815"/>
        <w:gridCol w:w="1261"/>
        <w:gridCol w:w="1043"/>
        <w:gridCol w:w="283"/>
        <w:gridCol w:w="284"/>
        <w:gridCol w:w="425"/>
        <w:gridCol w:w="260"/>
        <w:gridCol w:w="591"/>
        <w:gridCol w:w="708"/>
      </w:tblGrid>
      <w:tr>
        <w:tblPrEx>
          <w:tblLayout w:type="fixed"/>
          <w:tblCellMar>
            <w:top w:w="0" w:type="dxa"/>
            <w:left w:w="108" w:type="dxa"/>
            <w:bottom w:w="0" w:type="dxa"/>
            <w:right w:w="108" w:type="dxa"/>
          </w:tblCellMar>
        </w:tblPrEx>
        <w:trPr>
          <w:trHeight w:val="454" w:hRule="exact"/>
          <w:jc w:val="center"/>
        </w:trPr>
        <w:tc>
          <w:tcPr>
            <w:tcW w:w="9080" w:type="dxa"/>
            <w:gridSpan w:val="13"/>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Layout w:type="fixed"/>
          <w:tblCellMar>
            <w:top w:w="0" w:type="dxa"/>
            <w:left w:w="108" w:type="dxa"/>
            <w:bottom w:w="0" w:type="dxa"/>
            <w:right w:w="108" w:type="dxa"/>
          </w:tblCellMar>
        </w:tblPrEx>
        <w:trPr>
          <w:trHeight w:val="201" w:hRule="atLeast"/>
          <w:jc w:val="center"/>
        </w:trPr>
        <w:tc>
          <w:tcPr>
            <w:tcW w:w="9080" w:type="dxa"/>
            <w:gridSpan w:val="13"/>
            <w:tcBorders>
              <w:top w:val="nil"/>
              <w:left w:val="nil"/>
              <w:bottom w:val="nil"/>
              <w:right w:val="nil"/>
            </w:tcBorders>
          </w:tcPr>
          <w:p>
            <w:pPr>
              <w:widowControl/>
              <w:jc w:val="center"/>
              <w:rPr>
                <w:rFonts w:ascii="宋体" w:hAnsi="宋体" w:cs="宋体"/>
                <w:kern w:val="0"/>
                <w:sz w:val="22"/>
                <w:szCs w:val="22"/>
              </w:rPr>
            </w:pPr>
            <w:r>
              <w:rPr>
                <w:rFonts w:hint="eastAsia" w:ascii="宋体" w:hAnsi="宋体" w:cs="宋体"/>
                <w:kern w:val="0"/>
                <w:sz w:val="22"/>
                <w:szCs w:val="22"/>
              </w:rPr>
              <w:t>（</w:t>
            </w:r>
            <w:r>
              <w:rPr>
                <w:rFonts w:ascii="宋体" w:hAnsi="宋体" w:cs="宋体"/>
                <w:kern w:val="0"/>
                <w:sz w:val="22"/>
                <w:szCs w:val="22"/>
              </w:rPr>
              <w:t>2019</w:t>
            </w:r>
            <w:r>
              <w:rPr>
                <w:rFonts w:hint="eastAsia" w:ascii="宋体" w:hAnsi="宋体" w:cs="宋体"/>
                <w:kern w:val="0"/>
                <w:sz w:val="22"/>
                <w:szCs w:val="22"/>
              </w:rPr>
              <w:t>年度）</w:t>
            </w:r>
          </w:p>
        </w:tc>
      </w:tr>
      <w:tr>
        <w:tblPrEx>
          <w:tblLayout w:type="fixed"/>
          <w:tblCellMar>
            <w:top w:w="0" w:type="dxa"/>
            <w:left w:w="108" w:type="dxa"/>
            <w:bottom w:w="0" w:type="dxa"/>
            <w:right w:w="108" w:type="dxa"/>
          </w:tblCellMar>
        </w:tblPrEx>
        <w:trPr>
          <w:trHeight w:val="300" w:hRule="exact"/>
          <w:jc w:val="center"/>
        </w:trPr>
        <w:tc>
          <w:tcPr>
            <w:tcW w:w="122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7855" w:type="dxa"/>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2019年中央政法转移支付业务经费</w:t>
            </w:r>
          </w:p>
        </w:tc>
      </w:tr>
      <w:tr>
        <w:tblPrEx>
          <w:tblLayout w:type="fixed"/>
          <w:tblCellMar>
            <w:top w:w="0" w:type="dxa"/>
            <w:left w:w="108" w:type="dxa"/>
            <w:bottom w:w="0" w:type="dxa"/>
            <w:right w:w="108" w:type="dxa"/>
          </w:tblCellMar>
        </w:tblPrEx>
        <w:trPr>
          <w:trHeight w:val="300" w:hRule="exact"/>
          <w:jc w:val="center"/>
        </w:trPr>
        <w:tc>
          <w:tcPr>
            <w:tcW w:w="122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4261" w:type="dxa"/>
            <w:gridSpan w:val="4"/>
            <w:tcBorders>
              <w:top w:val="single" w:color="auto" w:sz="4" w:space="0"/>
              <w:left w:val="nil"/>
              <w:bottom w:val="single" w:color="auto" w:sz="4" w:space="0"/>
              <w:right w:val="single" w:color="auto" w:sz="4" w:space="0"/>
            </w:tcBorders>
            <w:vAlign w:val="center"/>
          </w:tcPr>
          <w:p>
            <w:pPr>
              <w:widowControl/>
              <w:spacing w:line="240" w:lineRule="exact"/>
              <w:ind w:firstLine="990" w:firstLineChars="550"/>
              <w:rPr>
                <w:rFonts w:hint="eastAsia" w:ascii="宋体" w:hAnsi="宋体" w:cs="宋体"/>
                <w:kern w:val="0"/>
                <w:sz w:val="18"/>
                <w:szCs w:val="18"/>
              </w:rPr>
            </w:pPr>
            <w:r>
              <w:rPr>
                <w:rFonts w:hint="eastAsia" w:ascii="宋体" w:hAnsi="宋体" w:cs="宋体"/>
                <w:kern w:val="0"/>
                <w:sz w:val="18"/>
                <w:szCs w:val="18"/>
              </w:rPr>
              <w:t>霍城县人民政府</w:t>
            </w:r>
          </w:p>
        </w:tc>
        <w:tc>
          <w:tcPr>
            <w:tcW w:w="132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霍城县司法局</w:t>
            </w:r>
          </w:p>
        </w:tc>
      </w:tr>
      <w:tr>
        <w:tblPrEx>
          <w:tblLayout w:type="fixed"/>
          <w:tblCellMar>
            <w:top w:w="0" w:type="dxa"/>
            <w:left w:w="108" w:type="dxa"/>
            <w:bottom w:w="0" w:type="dxa"/>
            <w:right w:w="108" w:type="dxa"/>
          </w:tblCellMar>
        </w:tblPrEx>
        <w:trPr>
          <w:trHeight w:val="550" w:hRule="exact"/>
          <w:jc w:val="center"/>
        </w:trPr>
        <w:tc>
          <w:tcPr>
            <w:tcW w:w="1225"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21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1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126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132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Layout w:type="fixed"/>
          <w:tblCellMar>
            <w:top w:w="0" w:type="dxa"/>
            <w:left w:w="108" w:type="dxa"/>
            <w:bottom w:w="0" w:type="dxa"/>
            <w:right w:w="108" w:type="dxa"/>
          </w:tblCellMar>
        </w:tblPrEx>
        <w:trPr>
          <w:trHeight w:val="300" w:hRule="exact"/>
          <w:jc w:val="center"/>
        </w:trPr>
        <w:tc>
          <w:tcPr>
            <w:tcW w:w="122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85"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81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165</w:t>
            </w:r>
          </w:p>
        </w:tc>
        <w:tc>
          <w:tcPr>
            <w:tcW w:w="126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165</w:t>
            </w:r>
          </w:p>
        </w:tc>
        <w:tc>
          <w:tcPr>
            <w:tcW w:w="132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165</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r>
      <w:tr>
        <w:tblPrEx>
          <w:tblLayout w:type="fixed"/>
          <w:tblCellMar>
            <w:top w:w="0" w:type="dxa"/>
            <w:left w:w="108" w:type="dxa"/>
            <w:bottom w:w="0" w:type="dxa"/>
            <w:right w:w="108" w:type="dxa"/>
          </w:tblCellMar>
        </w:tblPrEx>
        <w:trPr>
          <w:trHeight w:val="300" w:hRule="exact"/>
          <w:jc w:val="center"/>
        </w:trPr>
        <w:tc>
          <w:tcPr>
            <w:tcW w:w="122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815"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165</w:t>
            </w:r>
          </w:p>
        </w:tc>
        <w:tc>
          <w:tcPr>
            <w:tcW w:w="126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165</w:t>
            </w:r>
          </w:p>
        </w:tc>
        <w:tc>
          <w:tcPr>
            <w:tcW w:w="132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165</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r>
      <w:tr>
        <w:tblPrEx>
          <w:tblLayout w:type="fixed"/>
          <w:tblCellMar>
            <w:top w:w="0" w:type="dxa"/>
            <w:left w:w="108" w:type="dxa"/>
            <w:bottom w:w="0" w:type="dxa"/>
            <w:right w:w="108" w:type="dxa"/>
          </w:tblCellMar>
        </w:tblPrEx>
        <w:trPr>
          <w:trHeight w:val="300" w:hRule="exact"/>
          <w:jc w:val="center"/>
        </w:trPr>
        <w:tc>
          <w:tcPr>
            <w:tcW w:w="122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上年结转资金</w:t>
            </w:r>
          </w:p>
        </w:tc>
        <w:tc>
          <w:tcPr>
            <w:tcW w:w="81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261"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32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trHeight w:val="300" w:hRule="exact"/>
          <w:jc w:val="center"/>
        </w:trPr>
        <w:tc>
          <w:tcPr>
            <w:tcW w:w="122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其他资金</w:t>
            </w:r>
          </w:p>
        </w:tc>
        <w:tc>
          <w:tcPr>
            <w:tcW w:w="81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26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32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489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3594"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Layout w:type="fixed"/>
          <w:tblCellMar>
            <w:top w:w="0" w:type="dxa"/>
            <w:left w:w="108" w:type="dxa"/>
            <w:bottom w:w="0" w:type="dxa"/>
            <w:right w:w="108" w:type="dxa"/>
          </w:tblCellMar>
        </w:tblPrEx>
        <w:trPr>
          <w:trHeight w:val="1057"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4898" w:type="dxa"/>
            <w:gridSpan w:val="5"/>
            <w:tcBorders>
              <w:top w:val="single" w:color="auto" w:sz="4" w:space="0"/>
              <w:left w:val="nil"/>
              <w:bottom w:val="single" w:color="auto" w:sz="4" w:space="0"/>
              <w:right w:val="single" w:color="auto" w:sz="4" w:space="0"/>
            </w:tcBorders>
            <w:vAlign w:val="center"/>
          </w:tcPr>
          <w:p>
            <w:pPr>
              <w:widowControl/>
              <w:spacing w:line="240" w:lineRule="exact"/>
              <w:rPr>
                <w:rFonts w:hint="eastAsia" w:ascii="宋体" w:hAnsi="宋体" w:cs="宋体"/>
                <w:kern w:val="0"/>
                <w:sz w:val="18"/>
                <w:szCs w:val="18"/>
              </w:rPr>
            </w:pPr>
            <w:r>
              <w:rPr>
                <w:rFonts w:hint="eastAsia" w:ascii="宋体" w:hAnsi="宋体" w:cs="宋体"/>
                <w:kern w:val="0"/>
                <w:sz w:val="18"/>
                <w:szCs w:val="18"/>
              </w:rPr>
              <w:t>目标：确保司法行政工作业务正常工作，提高司法行政机关的办案和装备经费保障水平。</w:t>
            </w:r>
          </w:p>
          <w:p>
            <w:pPr>
              <w:widowControl/>
              <w:spacing w:line="240" w:lineRule="exact"/>
              <w:rPr>
                <w:rFonts w:hint="eastAsia" w:ascii="宋体" w:hAnsi="宋体" w:cs="宋体"/>
                <w:kern w:val="0"/>
                <w:sz w:val="18"/>
                <w:szCs w:val="18"/>
              </w:rPr>
            </w:pPr>
          </w:p>
        </w:tc>
        <w:tc>
          <w:tcPr>
            <w:tcW w:w="3594"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目标1.全面保障局机关和基层司法所办案经费和装备经费水平，2019年共拨付办案业</w:t>
            </w:r>
          </w:p>
          <w:p>
            <w:pPr>
              <w:widowControl/>
              <w:spacing w:line="240" w:lineRule="exact"/>
              <w:rPr>
                <w:rFonts w:ascii="宋体" w:hAnsi="宋体" w:cs="宋体"/>
                <w:kern w:val="0"/>
                <w:sz w:val="18"/>
                <w:szCs w:val="18"/>
              </w:rPr>
            </w:pPr>
            <w:r>
              <w:rPr>
                <w:rFonts w:hint="eastAsia" w:ascii="宋体" w:hAnsi="宋体" w:cs="宋体"/>
                <w:kern w:val="0"/>
                <w:sz w:val="18"/>
                <w:szCs w:val="18"/>
              </w:rPr>
              <w:t>务经费共计165万元，已使用70.11万元。</w:t>
            </w:r>
          </w:p>
        </w:tc>
      </w:tr>
      <w:tr>
        <w:tblPrEx>
          <w:tblLayout w:type="fixed"/>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tc>
        <w:tc>
          <w:tcPr>
            <w:tcW w:w="6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109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190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126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104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68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29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Layout w:type="fixed"/>
          <w:tblCellMar>
            <w:top w:w="0" w:type="dxa"/>
            <w:left w:w="108" w:type="dxa"/>
            <w:bottom w:w="0" w:type="dxa"/>
            <w:right w:w="108" w:type="dxa"/>
          </w:tblCellMar>
        </w:tblPrEx>
        <w:trPr>
          <w:trHeight w:val="533"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63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c>
          <w:tcPr>
            <w:tcW w:w="1095" w:type="dxa"/>
            <w:vMerge w:val="restart"/>
            <w:tcBorders>
              <w:top w:val="nil"/>
              <w:left w:val="nil"/>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190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指标1：司法行政部门数量</w:t>
            </w:r>
          </w:p>
        </w:tc>
        <w:tc>
          <w:tcPr>
            <w:tcW w:w="1261"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w:t>
            </w:r>
          </w:p>
        </w:tc>
        <w:tc>
          <w:tcPr>
            <w:tcW w:w="104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3</w:t>
            </w:r>
          </w:p>
        </w:tc>
        <w:tc>
          <w:tcPr>
            <w:tcW w:w="68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3</w:t>
            </w:r>
          </w:p>
        </w:tc>
        <w:tc>
          <w:tcPr>
            <w:tcW w:w="129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p>
        </w:tc>
      </w:tr>
      <w:tr>
        <w:tblPrEx>
          <w:tblLayout w:type="fixed"/>
          <w:tblCellMar>
            <w:top w:w="0" w:type="dxa"/>
            <w:left w:w="108" w:type="dxa"/>
            <w:bottom w:w="0" w:type="dxa"/>
            <w:right w:w="108" w:type="dxa"/>
          </w:tblCellMar>
        </w:tblPrEx>
        <w:trPr>
          <w:trHeight w:val="118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7"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1095" w:type="dxa"/>
            <w:vMerge w:val="continue"/>
            <w:tcBorders>
              <w:left w:val="nil"/>
              <w:right w:val="single" w:color="auto" w:sz="4" w:space="0"/>
            </w:tcBorders>
            <w:vAlign w:val="center"/>
          </w:tcPr>
          <w:p>
            <w:pPr>
              <w:widowControl/>
              <w:spacing w:line="240" w:lineRule="exact"/>
              <w:jc w:val="center"/>
              <w:rPr>
                <w:rFonts w:ascii="宋体" w:hAnsi="宋体" w:cs="宋体"/>
                <w:kern w:val="0"/>
                <w:sz w:val="18"/>
                <w:szCs w:val="18"/>
              </w:rPr>
            </w:pPr>
          </w:p>
        </w:tc>
        <w:tc>
          <w:tcPr>
            <w:tcW w:w="190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指标2：开展普法宣传、公共法律服务、法律顾问工作</w:t>
            </w:r>
          </w:p>
        </w:tc>
        <w:tc>
          <w:tcPr>
            <w:tcW w:w="1261"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200场次，聘请法律顾问56人，建设公共法律服务站15个</w:t>
            </w:r>
          </w:p>
        </w:tc>
        <w:tc>
          <w:tcPr>
            <w:tcW w:w="104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261</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3</w:t>
            </w:r>
          </w:p>
        </w:tc>
        <w:tc>
          <w:tcPr>
            <w:tcW w:w="68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3</w:t>
            </w:r>
          </w:p>
        </w:tc>
        <w:tc>
          <w:tcPr>
            <w:tcW w:w="129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4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7"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5" w:type="dxa"/>
            <w:vMerge w:val="continue"/>
            <w:tcBorders>
              <w:left w:val="nil"/>
              <w:right w:val="single" w:color="auto" w:sz="4" w:space="0"/>
            </w:tcBorders>
            <w:vAlign w:val="center"/>
          </w:tcPr>
          <w:p>
            <w:pPr>
              <w:widowControl/>
              <w:spacing w:line="240" w:lineRule="exact"/>
              <w:jc w:val="center"/>
              <w:rPr>
                <w:rFonts w:ascii="宋体" w:hAnsi="宋体" w:cs="宋体"/>
                <w:kern w:val="0"/>
                <w:sz w:val="18"/>
                <w:szCs w:val="18"/>
              </w:rPr>
            </w:pPr>
          </w:p>
        </w:tc>
        <w:tc>
          <w:tcPr>
            <w:tcW w:w="190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指标3：办理人民调解案件</w:t>
            </w:r>
          </w:p>
        </w:tc>
        <w:tc>
          <w:tcPr>
            <w:tcW w:w="1261"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400件</w:t>
            </w:r>
          </w:p>
        </w:tc>
        <w:tc>
          <w:tcPr>
            <w:tcW w:w="104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414件</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w:t>
            </w:r>
          </w:p>
        </w:tc>
        <w:tc>
          <w:tcPr>
            <w:tcW w:w="68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w:t>
            </w:r>
          </w:p>
        </w:tc>
        <w:tc>
          <w:tcPr>
            <w:tcW w:w="129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8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7"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5" w:type="dxa"/>
            <w:vMerge w:val="continue"/>
            <w:tcBorders>
              <w:left w:val="nil"/>
              <w:right w:val="single" w:color="auto" w:sz="4" w:space="0"/>
            </w:tcBorders>
            <w:vAlign w:val="center"/>
          </w:tcPr>
          <w:p>
            <w:pPr>
              <w:widowControl/>
              <w:spacing w:line="240" w:lineRule="exact"/>
              <w:jc w:val="center"/>
              <w:rPr>
                <w:rFonts w:ascii="宋体" w:hAnsi="宋体" w:cs="宋体"/>
                <w:kern w:val="0"/>
                <w:sz w:val="18"/>
                <w:szCs w:val="18"/>
              </w:rPr>
            </w:pPr>
          </w:p>
        </w:tc>
        <w:tc>
          <w:tcPr>
            <w:tcW w:w="190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指标4：办理法律援助案件</w:t>
            </w:r>
          </w:p>
        </w:tc>
        <w:tc>
          <w:tcPr>
            <w:tcW w:w="1261"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280件</w:t>
            </w:r>
          </w:p>
        </w:tc>
        <w:tc>
          <w:tcPr>
            <w:tcW w:w="104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282件</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w:t>
            </w:r>
          </w:p>
        </w:tc>
        <w:tc>
          <w:tcPr>
            <w:tcW w:w="68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w:t>
            </w:r>
          </w:p>
        </w:tc>
        <w:tc>
          <w:tcPr>
            <w:tcW w:w="129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案件率偏低</w:t>
            </w:r>
          </w:p>
        </w:tc>
      </w:tr>
      <w:tr>
        <w:tblPrEx>
          <w:tblLayout w:type="fixed"/>
          <w:tblCellMar>
            <w:top w:w="0" w:type="dxa"/>
            <w:left w:w="108" w:type="dxa"/>
            <w:bottom w:w="0" w:type="dxa"/>
            <w:right w:w="108" w:type="dxa"/>
          </w:tblCellMar>
        </w:tblPrEx>
        <w:trPr>
          <w:trHeight w:val="48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7"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5" w:type="dxa"/>
            <w:vMerge w:val="continue"/>
            <w:tcBorders>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0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指标5：安置帮教和社区矫正工作</w:t>
            </w:r>
          </w:p>
        </w:tc>
        <w:tc>
          <w:tcPr>
            <w:tcW w:w="1261"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50人</w:t>
            </w:r>
          </w:p>
        </w:tc>
        <w:tc>
          <w:tcPr>
            <w:tcW w:w="104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50人</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w:t>
            </w:r>
          </w:p>
        </w:tc>
        <w:tc>
          <w:tcPr>
            <w:tcW w:w="68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w:t>
            </w:r>
          </w:p>
        </w:tc>
        <w:tc>
          <w:tcPr>
            <w:tcW w:w="129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8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7"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190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指标1：政法经费保障业务工作情况</w:t>
            </w:r>
          </w:p>
        </w:tc>
        <w:tc>
          <w:tcPr>
            <w:tcW w:w="1261"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53万元</w:t>
            </w:r>
          </w:p>
        </w:tc>
        <w:tc>
          <w:tcPr>
            <w:tcW w:w="104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33.62万元</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w:t>
            </w:r>
          </w:p>
        </w:tc>
        <w:tc>
          <w:tcPr>
            <w:tcW w:w="68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w:t>
            </w:r>
          </w:p>
        </w:tc>
        <w:tc>
          <w:tcPr>
            <w:tcW w:w="129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74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7"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0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指标2：办理合格案件数量</w:t>
            </w:r>
          </w:p>
        </w:tc>
        <w:tc>
          <w:tcPr>
            <w:tcW w:w="1261"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280</w:t>
            </w:r>
          </w:p>
        </w:tc>
        <w:tc>
          <w:tcPr>
            <w:tcW w:w="104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282</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w:t>
            </w:r>
          </w:p>
        </w:tc>
        <w:tc>
          <w:tcPr>
            <w:tcW w:w="68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w:t>
            </w:r>
          </w:p>
        </w:tc>
        <w:tc>
          <w:tcPr>
            <w:tcW w:w="129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4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7"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190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指标1：政法专项经费及时拨付情况</w:t>
            </w:r>
          </w:p>
        </w:tc>
        <w:tc>
          <w:tcPr>
            <w:tcW w:w="1261"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53</w:t>
            </w:r>
          </w:p>
        </w:tc>
        <w:tc>
          <w:tcPr>
            <w:tcW w:w="104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53</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w:t>
            </w:r>
          </w:p>
        </w:tc>
        <w:tc>
          <w:tcPr>
            <w:tcW w:w="68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w:t>
            </w:r>
          </w:p>
        </w:tc>
        <w:tc>
          <w:tcPr>
            <w:tcW w:w="129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5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7"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0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指标2：案件结案时间</w:t>
            </w:r>
          </w:p>
          <w:p>
            <w:pPr>
              <w:widowControl/>
              <w:spacing w:line="240" w:lineRule="exact"/>
              <w:jc w:val="left"/>
              <w:rPr>
                <w:rFonts w:hint="eastAsia" w:ascii="宋体" w:hAnsi="宋体" w:cs="宋体"/>
                <w:color w:val="000000"/>
                <w:kern w:val="0"/>
                <w:sz w:val="18"/>
                <w:szCs w:val="18"/>
              </w:rPr>
            </w:pPr>
          </w:p>
          <w:p>
            <w:pPr>
              <w:widowControl/>
              <w:spacing w:line="240" w:lineRule="exact"/>
              <w:jc w:val="left"/>
              <w:rPr>
                <w:rFonts w:hint="eastAsia" w:ascii="宋体" w:hAnsi="宋体" w:cs="宋体"/>
                <w:color w:val="000000"/>
                <w:kern w:val="0"/>
                <w:sz w:val="18"/>
                <w:szCs w:val="18"/>
              </w:rPr>
            </w:pPr>
          </w:p>
        </w:tc>
        <w:tc>
          <w:tcPr>
            <w:tcW w:w="1261"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ascii="Arial" w:hAnsi="Arial" w:cs="Arial"/>
                <w:kern w:val="0"/>
                <w:sz w:val="18"/>
                <w:szCs w:val="18"/>
              </w:rPr>
              <w:t>≤</w:t>
            </w:r>
            <w:r>
              <w:rPr>
                <w:rFonts w:hint="eastAsia" w:ascii="宋体" w:hAnsi="宋体" w:cs="宋体"/>
                <w:kern w:val="0"/>
                <w:sz w:val="18"/>
                <w:szCs w:val="18"/>
              </w:rPr>
              <w:t>15个工作日</w:t>
            </w:r>
          </w:p>
        </w:tc>
        <w:tc>
          <w:tcPr>
            <w:tcW w:w="104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w:t>
            </w:r>
          </w:p>
        </w:tc>
        <w:tc>
          <w:tcPr>
            <w:tcW w:w="68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w:t>
            </w:r>
          </w:p>
        </w:tc>
        <w:tc>
          <w:tcPr>
            <w:tcW w:w="129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97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7"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5"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190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指标1：开展普法宣传、公共法律服务、法律顾问工作经费支出数</w:t>
            </w:r>
          </w:p>
        </w:tc>
        <w:tc>
          <w:tcPr>
            <w:tcW w:w="1261"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25</w:t>
            </w:r>
          </w:p>
        </w:tc>
        <w:tc>
          <w:tcPr>
            <w:tcW w:w="104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17</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w:t>
            </w:r>
          </w:p>
        </w:tc>
        <w:tc>
          <w:tcPr>
            <w:tcW w:w="68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w:t>
            </w:r>
          </w:p>
        </w:tc>
        <w:tc>
          <w:tcPr>
            <w:tcW w:w="129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7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7"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5"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0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指标2：办理人民调解案件支出数</w:t>
            </w:r>
          </w:p>
        </w:tc>
        <w:tc>
          <w:tcPr>
            <w:tcW w:w="1261"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104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w:t>
            </w:r>
          </w:p>
        </w:tc>
        <w:tc>
          <w:tcPr>
            <w:tcW w:w="68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w:t>
            </w:r>
          </w:p>
        </w:tc>
        <w:tc>
          <w:tcPr>
            <w:tcW w:w="129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9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7"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5"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0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指标3：办理法律援助案件支出数</w:t>
            </w:r>
          </w:p>
        </w:tc>
        <w:tc>
          <w:tcPr>
            <w:tcW w:w="1261"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3</w:t>
            </w:r>
          </w:p>
        </w:tc>
        <w:tc>
          <w:tcPr>
            <w:tcW w:w="104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3</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w:t>
            </w:r>
          </w:p>
        </w:tc>
        <w:tc>
          <w:tcPr>
            <w:tcW w:w="68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w:t>
            </w:r>
          </w:p>
        </w:tc>
        <w:tc>
          <w:tcPr>
            <w:tcW w:w="129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79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7"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5"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0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指标4：安置帮教和社区矫正工作经费支出数</w:t>
            </w:r>
          </w:p>
        </w:tc>
        <w:tc>
          <w:tcPr>
            <w:tcW w:w="1261"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15</w:t>
            </w:r>
          </w:p>
        </w:tc>
        <w:tc>
          <w:tcPr>
            <w:tcW w:w="104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8.62</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w:t>
            </w:r>
          </w:p>
        </w:tc>
        <w:tc>
          <w:tcPr>
            <w:tcW w:w="68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w:t>
            </w:r>
          </w:p>
        </w:tc>
        <w:tc>
          <w:tcPr>
            <w:tcW w:w="129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69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7" w:type="dxa"/>
            <w:vMerge w:val="restart"/>
            <w:tcBorders>
              <w:top w:val="nil"/>
              <w:left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效益指标</w:t>
            </w:r>
          </w:p>
        </w:tc>
        <w:tc>
          <w:tcPr>
            <w:tcW w:w="1095"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90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指标1：司法行政办案水平不断提升</w:t>
            </w:r>
          </w:p>
        </w:tc>
        <w:tc>
          <w:tcPr>
            <w:tcW w:w="1261"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稳步提升</w:t>
            </w:r>
          </w:p>
        </w:tc>
        <w:tc>
          <w:tcPr>
            <w:tcW w:w="104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68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29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6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7"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5"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0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指标2：矛盾纠纷得到及时化解</w:t>
            </w:r>
          </w:p>
        </w:tc>
        <w:tc>
          <w:tcPr>
            <w:tcW w:w="126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稳步提升</w:t>
            </w:r>
          </w:p>
        </w:tc>
        <w:tc>
          <w:tcPr>
            <w:tcW w:w="104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68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29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8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7"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5"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0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指标3：做到应援尽援</w:t>
            </w:r>
          </w:p>
        </w:tc>
        <w:tc>
          <w:tcPr>
            <w:tcW w:w="126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稳步提升</w:t>
            </w:r>
          </w:p>
        </w:tc>
        <w:tc>
          <w:tcPr>
            <w:tcW w:w="104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68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29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66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7"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5"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0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指标4：群众学法用法意识和水平得到明显提升</w:t>
            </w:r>
          </w:p>
        </w:tc>
        <w:tc>
          <w:tcPr>
            <w:tcW w:w="126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稳步提升</w:t>
            </w:r>
          </w:p>
        </w:tc>
        <w:tc>
          <w:tcPr>
            <w:tcW w:w="104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68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29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61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7"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可持续影响指标</w:t>
            </w:r>
          </w:p>
        </w:tc>
        <w:tc>
          <w:tcPr>
            <w:tcW w:w="190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指标1：资金持续保障</w:t>
            </w:r>
          </w:p>
        </w:tc>
        <w:tc>
          <w:tcPr>
            <w:tcW w:w="1261" w:type="dxa"/>
            <w:tcBorders>
              <w:top w:val="nil"/>
              <w:left w:val="nil"/>
              <w:bottom w:val="single" w:color="auto" w:sz="4" w:space="0"/>
              <w:right w:val="single" w:color="auto" w:sz="4" w:space="0"/>
            </w:tcBorders>
            <w:vAlign w:val="center"/>
          </w:tcPr>
          <w:p>
            <w:pPr>
              <w:widowControl/>
              <w:spacing w:line="240" w:lineRule="exact"/>
              <w:rPr>
                <w:rFonts w:hint="eastAsia" w:ascii="宋体" w:hAnsi="宋体" w:cs="宋体"/>
                <w:kern w:val="0"/>
                <w:sz w:val="18"/>
                <w:szCs w:val="18"/>
              </w:rPr>
            </w:pPr>
            <w:r>
              <w:rPr>
                <w:rFonts w:hint="eastAsia" w:ascii="宋体" w:hAnsi="宋体" w:cs="宋体"/>
                <w:kern w:val="0"/>
                <w:sz w:val="18"/>
                <w:szCs w:val="18"/>
              </w:rPr>
              <w:t>1年内保障资金持续使用</w:t>
            </w:r>
          </w:p>
        </w:tc>
        <w:tc>
          <w:tcPr>
            <w:tcW w:w="104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68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29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109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7"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0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指标2：各项工作发生的经费能够确保支付，确保工作持续性</w:t>
            </w:r>
          </w:p>
        </w:tc>
        <w:tc>
          <w:tcPr>
            <w:tcW w:w="1261"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1年内能够保障各项司法工作持续运转</w:t>
            </w:r>
          </w:p>
        </w:tc>
        <w:tc>
          <w:tcPr>
            <w:tcW w:w="104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68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129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9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7"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095"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190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指标1：矛盾纠纷调处对象满意度</w:t>
            </w:r>
          </w:p>
        </w:tc>
        <w:tc>
          <w:tcPr>
            <w:tcW w:w="1261"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稳步提升</w:t>
            </w:r>
          </w:p>
        </w:tc>
        <w:tc>
          <w:tcPr>
            <w:tcW w:w="104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98%</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2.5</w:t>
            </w:r>
          </w:p>
        </w:tc>
        <w:tc>
          <w:tcPr>
            <w:tcW w:w="68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2.5</w:t>
            </w:r>
          </w:p>
        </w:tc>
        <w:tc>
          <w:tcPr>
            <w:tcW w:w="129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9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7"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5"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0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指标2：法律援助对象满意度</w:t>
            </w:r>
          </w:p>
        </w:tc>
        <w:tc>
          <w:tcPr>
            <w:tcW w:w="1261"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稳步提升</w:t>
            </w:r>
          </w:p>
        </w:tc>
        <w:tc>
          <w:tcPr>
            <w:tcW w:w="104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98%</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2.5</w:t>
            </w:r>
          </w:p>
        </w:tc>
        <w:tc>
          <w:tcPr>
            <w:tcW w:w="68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2.5</w:t>
            </w:r>
          </w:p>
        </w:tc>
        <w:tc>
          <w:tcPr>
            <w:tcW w:w="129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610" w:hRule="exact"/>
          <w:jc w:val="center"/>
        </w:trPr>
        <w:tc>
          <w:tcPr>
            <w:tcW w:w="58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7"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5"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0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指标3：普法宣传、法律服务对象满意度</w:t>
            </w:r>
          </w:p>
        </w:tc>
        <w:tc>
          <w:tcPr>
            <w:tcW w:w="1261"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稳步提升</w:t>
            </w:r>
          </w:p>
        </w:tc>
        <w:tc>
          <w:tcPr>
            <w:tcW w:w="104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98%</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2.5</w:t>
            </w:r>
          </w:p>
        </w:tc>
        <w:tc>
          <w:tcPr>
            <w:tcW w:w="68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2.5</w:t>
            </w:r>
          </w:p>
        </w:tc>
        <w:tc>
          <w:tcPr>
            <w:tcW w:w="129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930" w:hRule="exact"/>
          <w:jc w:val="center"/>
        </w:trPr>
        <w:tc>
          <w:tcPr>
            <w:tcW w:w="588" w:type="dxa"/>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7"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5"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90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指标4：社区矫正和安置帮教服务对象满意度</w:t>
            </w:r>
          </w:p>
        </w:tc>
        <w:tc>
          <w:tcPr>
            <w:tcW w:w="1261"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稳步提升</w:t>
            </w:r>
          </w:p>
        </w:tc>
        <w:tc>
          <w:tcPr>
            <w:tcW w:w="104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98%</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2.5</w:t>
            </w:r>
          </w:p>
        </w:tc>
        <w:tc>
          <w:tcPr>
            <w:tcW w:w="68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2.5</w:t>
            </w:r>
          </w:p>
        </w:tc>
        <w:tc>
          <w:tcPr>
            <w:tcW w:w="129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300" w:hRule="exact"/>
          <w:jc w:val="center"/>
        </w:trPr>
        <w:tc>
          <w:tcPr>
            <w:tcW w:w="6529" w:type="dxa"/>
            <w:gridSpan w:val="7"/>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68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98</w:t>
            </w:r>
          </w:p>
        </w:tc>
        <w:tc>
          <w:tcPr>
            <w:tcW w:w="129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bl>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第三部分专业名词解释</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第四部分部门决算报表（见附表）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七、《一般公共预算财政拨款“三公”经费支出决算表》</w:t>
      </w:r>
    </w:p>
    <w:p>
      <w:pPr>
        <w:ind w:firstLine="640" w:firstLineChars="200"/>
        <w:outlineLvl w:val="1"/>
        <w:rPr>
          <w:rFonts w:ascii="黑体" w:hAnsi="黑体" w:eastAsia="黑体" w:cs="宋体"/>
          <w:bCs/>
          <w:kern w:val="0"/>
          <w:sz w:val="32"/>
          <w:szCs w:val="32"/>
        </w:rPr>
        <w:sectPr>
          <w:footerReference r:id="rId3" w:type="default"/>
          <w:pgSz w:w="11906" w:h="16838"/>
          <w:pgMar w:top="1440" w:right="1800" w:bottom="1440" w:left="1800" w:header="851" w:footer="992" w:gutter="0"/>
          <w:pgNumType w:start="1"/>
          <w:cols w:space="720" w:num="1"/>
          <w:docGrid w:type="lines" w:linePitch="312" w:charSpace="0"/>
        </w:sectPr>
      </w:pPr>
      <w:r>
        <w:rPr>
          <w:rFonts w:hint="eastAsia" w:ascii="黑体" w:hAnsi="黑体" w:eastAsia="黑体" w:cs="宋体"/>
          <w:bCs/>
          <w:kern w:val="0"/>
          <w:sz w:val="32"/>
          <w:szCs w:val="32"/>
        </w:rPr>
        <w:t>八、《政府性基金预算财政拨款收入支出决算表》</w:t>
      </w:r>
    </w:p>
    <w:p>
      <w:pPr>
        <w:ind w:firstLine="640" w:firstLineChars="200"/>
        <w:outlineLvl w:val="1"/>
        <w:rPr>
          <w:rFonts w:ascii="黑体" w:hAnsi="黑体" w:eastAsia="黑体" w:cs="宋体"/>
          <w:bCs/>
          <w:kern w:val="0"/>
          <w:sz w:val="32"/>
          <w:szCs w:val="32"/>
        </w:rPr>
      </w:pPr>
    </w:p>
    <w:sectPr>
      <w:footerReference r:id="rId4" w:type="default"/>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黑体">
    <w:panose1 w:val="02010609060101010101"/>
    <w:charset w:val="86"/>
    <w:family w:val="swiss"/>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swiss"/>
    <w:pitch w:val="default"/>
    <w:sig w:usb0="00000000" w:usb1="00000000" w:usb2="00000000" w:usb3="00000000" w:csb0="00040000" w:csb1="00000000"/>
  </w:font>
  <w:font w:name="Arial">
    <w:panose1 w:val="020B0604020202020204"/>
    <w:charset w:val="00"/>
    <w:family w:val="decorative"/>
    <w:pitch w:val="default"/>
    <w:sig w:usb0="E0002AFF" w:usb1="C0007843" w:usb2="00000009" w:usb3="00000000" w:csb0="400001FF" w:csb1="FFFF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黑体">
    <w:panose1 w:val="02010609060101010101"/>
    <w:charset w:val="86"/>
    <w:family w:val="decorative"/>
    <w:pitch w:val="default"/>
    <w:sig w:usb0="800002BF" w:usb1="38CF7CFA" w:usb2="00000016" w:usb3="00000000" w:csb0="00040001" w:csb1="00000000"/>
  </w:font>
  <w:font w:name="仿宋_GB2312">
    <w:altName w:val="仿宋"/>
    <w:panose1 w:val="00000000000000000000"/>
    <w:charset w:val="86"/>
    <w:family w:val="decorative"/>
    <w:pitch w:val="default"/>
    <w:sig w:usb0="00000000" w:usb1="00000000" w:usb2="00000000" w:usb3="00000000" w:csb0="00040000" w:csb1="00000000"/>
  </w:font>
  <w:font w:name="Arial">
    <w:panose1 w:val="020B0604020202020204"/>
    <w:charset w:val="00"/>
    <w:family w:val="roman"/>
    <w:pitch w:val="default"/>
    <w:sig w:usb0="E0002AFF" w:usb1="C0007843" w:usb2="00000009" w:usb3="00000000" w:csb0="400001FF" w:csb1="FFFF0000"/>
  </w:font>
  <w:font w:name="仿宋">
    <w:panose1 w:val="02010609060101010101"/>
    <w:charset w:val="86"/>
    <w:family w:val="decorative"/>
    <w:pitch w:val="default"/>
    <w:sig w:usb0="800002BF" w:usb1="38CF7CFA" w:usb2="00000016" w:usb3="00000000" w:csb0="00040001"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黑体">
    <w:panose1 w:val="02010609060101010101"/>
    <w:charset w:val="86"/>
    <w:family w:val="roman"/>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00" w:usb3="00000000" w:csb0="00040000" w:csb1="00000000"/>
  </w:font>
  <w:font w:name="Arial">
    <w:panose1 w:val="020B0604020202020204"/>
    <w:charset w:val="00"/>
    <w:family w:val="modern"/>
    <w:pitch w:val="default"/>
    <w:sig w:usb0="E0002AFF" w:usb1="C0007843" w:usb2="00000009" w:usb3="00000000" w:csb0="400001FF" w:csb1="FFFF0000"/>
  </w:font>
  <w:font w:name="仿宋">
    <w:panose1 w:val="02010609060101010101"/>
    <w:charset w:val="86"/>
    <w:family w:val="roman"/>
    <w:pitch w:val="default"/>
    <w:sig w:usb0="800002BF" w:usb1="38CF7CFA" w:usb2="00000016" w:usb3="00000000" w:csb0="00040001" w:csb1="00000000"/>
  </w:font>
  <w:font w:name="仿宋_GB2312">
    <w:altName w:val="仿宋"/>
    <w:panose1 w:val="02010609030101010101"/>
    <w:charset w:val="86"/>
    <w:family w:val="decorative"/>
    <w:pitch w:val="default"/>
    <w:sig w:usb0="00000000" w:usb1="00000000" w:usb2="00000000" w:usb3="00000000" w:csb0="00040000" w:csb1="00000000"/>
  </w:font>
  <w:font w:name="仿宋_GB2312">
    <w:altName w:val="仿宋"/>
    <w:panose1 w:val="02010609030101010101"/>
    <w:charset w:val="86"/>
    <w:family w:val="swiss"/>
    <w:pitch w:val="default"/>
    <w:sig w:usb0="00000000" w:usb1="00000000" w:usb2="00000000" w:usb3="00000000" w:csb0="00040000"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黑体">
    <w:panose1 w:val="02010609060101010101"/>
    <w:charset w:val="86"/>
    <w:family w:val="modern"/>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085"/>
    <w:rsid w:val="00013D0D"/>
    <w:rsid w:val="00015341"/>
    <w:rsid w:val="00034FC8"/>
    <w:rsid w:val="00054B86"/>
    <w:rsid w:val="000A1F9E"/>
    <w:rsid w:val="000D327C"/>
    <w:rsid w:val="00126D47"/>
    <w:rsid w:val="00197EB4"/>
    <w:rsid w:val="001D7DE3"/>
    <w:rsid w:val="001E387F"/>
    <w:rsid w:val="00203B4A"/>
    <w:rsid w:val="00205DF4"/>
    <w:rsid w:val="00223336"/>
    <w:rsid w:val="00257C46"/>
    <w:rsid w:val="002B0D8F"/>
    <w:rsid w:val="002C4A14"/>
    <w:rsid w:val="002E2F25"/>
    <w:rsid w:val="003143D1"/>
    <w:rsid w:val="00330951"/>
    <w:rsid w:val="003C2842"/>
    <w:rsid w:val="003E1399"/>
    <w:rsid w:val="003E5FDB"/>
    <w:rsid w:val="00460400"/>
    <w:rsid w:val="00467AA5"/>
    <w:rsid w:val="00494DFF"/>
    <w:rsid w:val="00496398"/>
    <w:rsid w:val="004B1179"/>
    <w:rsid w:val="004B2E3F"/>
    <w:rsid w:val="004C320B"/>
    <w:rsid w:val="004D2E92"/>
    <w:rsid w:val="004E07A9"/>
    <w:rsid w:val="005040D8"/>
    <w:rsid w:val="00544085"/>
    <w:rsid w:val="00597FDC"/>
    <w:rsid w:val="00602421"/>
    <w:rsid w:val="0065381A"/>
    <w:rsid w:val="00694170"/>
    <w:rsid w:val="00740961"/>
    <w:rsid w:val="00752542"/>
    <w:rsid w:val="0076245D"/>
    <w:rsid w:val="007716BE"/>
    <w:rsid w:val="0079328D"/>
    <w:rsid w:val="007A29F3"/>
    <w:rsid w:val="007A3352"/>
    <w:rsid w:val="008A1D36"/>
    <w:rsid w:val="008B651B"/>
    <w:rsid w:val="008E0BE2"/>
    <w:rsid w:val="009251F7"/>
    <w:rsid w:val="009764A8"/>
    <w:rsid w:val="00985B11"/>
    <w:rsid w:val="009A2AF5"/>
    <w:rsid w:val="009E51FD"/>
    <w:rsid w:val="00A33AF0"/>
    <w:rsid w:val="00A41D58"/>
    <w:rsid w:val="00A94CDE"/>
    <w:rsid w:val="00AC1B7A"/>
    <w:rsid w:val="00AC7C38"/>
    <w:rsid w:val="00AF26D1"/>
    <w:rsid w:val="00B562C4"/>
    <w:rsid w:val="00B92BC8"/>
    <w:rsid w:val="00BE2864"/>
    <w:rsid w:val="00C0361D"/>
    <w:rsid w:val="00C06295"/>
    <w:rsid w:val="00C112A6"/>
    <w:rsid w:val="00C24EF4"/>
    <w:rsid w:val="00CB270A"/>
    <w:rsid w:val="00CD1B13"/>
    <w:rsid w:val="00D6662F"/>
    <w:rsid w:val="00D75105"/>
    <w:rsid w:val="00D803A8"/>
    <w:rsid w:val="00DE468A"/>
    <w:rsid w:val="00E2499A"/>
    <w:rsid w:val="00E56879"/>
    <w:rsid w:val="00E85F32"/>
    <w:rsid w:val="00ED26EA"/>
    <w:rsid w:val="00EF3F7E"/>
    <w:rsid w:val="00F138DF"/>
    <w:rsid w:val="00F279B8"/>
    <w:rsid w:val="00F60976"/>
    <w:rsid w:val="00F716BC"/>
    <w:rsid w:val="49D51D92"/>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toc 3"/>
    <w:basedOn w:val="1"/>
    <w:next w:val="1"/>
    <w:uiPriority w:val="0"/>
    <w:pPr>
      <w:ind w:left="840" w:leftChars="4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uiPriority w:val="0"/>
  </w:style>
  <w:style w:type="paragraph" w:styleId="7">
    <w:name w:val="toc 2"/>
    <w:basedOn w:val="1"/>
    <w:next w:val="1"/>
    <w:uiPriority w:val="0"/>
    <w:pPr>
      <w:ind w:left="420" w:leftChars="200"/>
    </w:pPr>
  </w:style>
  <w:style w:type="paragraph" w:customStyle="1" w:styleId="10">
    <w:name w:val="WPSOffice手动目录 3"/>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987</Words>
  <Characters>5628</Characters>
  <Lines>46</Lines>
  <Paragraphs>13</Paragraphs>
  <ScaleCrop>false</ScaleCrop>
  <LinksUpToDate>false</LinksUpToDate>
  <CharactersWithSpaces>6602</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2020-08-16T14:23:00Z</dcterms:created>
  <dc:creator>胡 锦岩</dc:creator>
  <cp:lastModifiedBy>Administrator</cp:lastModifiedBy>
  <dcterms:modified xsi:type="dcterms:W3CDTF">2020-11-06T04:44:01Z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