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新疆伊犁州霍城县政法委员会</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在县委统一领导领导下，深入贯彻落实党中央决定和自治区党委、自治州党委、县委工作要求，对政法工作研究提出全局性部署，推进平安霍城、法治霍城建设，加强过硬队伍建设，深化智能化建设，坚决维护国家政治安全、确保社会大局稳定、促进社会公平正义、保障人民安居乐业。了解掌握和分析研判政法工作情况动态，分析社会稳定形势，创新完善多部门参与的综治维稳工作机制。加强对政法工作的督导，统筹协调社会治安综合治理、维护社会稳定、反邪教、边境管控有关法律法规政策的实施工作。组织做好政法领域调查研究，研究拟订政法工作方针政策和重大措施，及时向县委提出建议。掌握分析舆情动态，指导协调政法部门媒体网络宣传工作，指导政法部门做好涉及政法工作的重大宣传工作。监督和支持政法各部门依法行使职权，指导和协调政法各部门密切配合，研究和协调重大、疑难案件，推进严格执法、公正司法。组织研究政法改革中带有方向性、倾向性和普遍性的重大问题，深化政法改革。指导推动政法系统党的建设和政法队伍建设，代管法学会。完成县委交办的其他任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新疆伊犁州霍城县政法委员会</w:t>
      </w:r>
      <w:r>
        <w:rPr>
          <w:rFonts w:hint="eastAsia" w:ascii="仿宋_GB2312" w:eastAsia="仿宋_GB2312"/>
          <w:sz w:val="32"/>
          <w:szCs w:val="32"/>
        </w:rPr>
        <w:t>2019年度，实有人数</w:t>
      </w:r>
      <w:r>
        <w:rPr>
          <w:rFonts w:ascii="仿宋_GB2312" w:eastAsia="仿宋_GB2312"/>
          <w:sz w:val="32"/>
          <w:szCs w:val="32"/>
        </w:rPr>
        <w:t>16</w:t>
      </w:r>
      <w:r>
        <w:rPr>
          <w:rFonts w:hint="eastAsia" w:ascii="仿宋_GB2312" w:eastAsia="仿宋_GB2312"/>
          <w:sz w:val="32"/>
          <w:szCs w:val="32"/>
        </w:rPr>
        <w:t>人，其中：在职人员</w:t>
      </w:r>
      <w:r>
        <w:rPr>
          <w:rFonts w:ascii="仿宋_GB2312" w:eastAsia="仿宋_GB2312"/>
          <w:sz w:val="32"/>
          <w:szCs w:val="32"/>
        </w:rPr>
        <w:t>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新疆伊犁州霍城县政法委员会</w:t>
      </w:r>
      <w:r>
        <w:rPr>
          <w:rFonts w:hint="eastAsia" w:ascii="仿宋_GB2312" w:eastAsia="仿宋_GB2312"/>
          <w:sz w:val="32"/>
          <w:szCs w:val="32"/>
        </w:rPr>
        <w:t>决算包括：</w:t>
      </w:r>
      <w:r>
        <w:rPr>
          <w:rFonts w:ascii="仿宋_GB2312" w:eastAsia="仿宋_GB2312"/>
          <w:sz w:val="32"/>
          <w:szCs w:val="32"/>
        </w:rPr>
        <w:t>新疆伊犁州霍城县政法委员会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4881.47</w:t>
      </w:r>
      <w:r>
        <w:rPr>
          <w:rFonts w:hint="eastAsia" w:ascii="仿宋_GB2312" w:eastAsia="仿宋_GB2312"/>
          <w:sz w:val="32"/>
          <w:szCs w:val="32"/>
        </w:rPr>
        <w:t>万元，与上年相比，减少</w:t>
      </w:r>
      <w:r>
        <w:rPr>
          <w:rFonts w:ascii="仿宋_GB2312" w:eastAsia="仿宋_GB2312"/>
          <w:sz w:val="32"/>
          <w:szCs w:val="32"/>
        </w:rPr>
        <w:t>76.55</w:t>
      </w:r>
      <w:r>
        <w:rPr>
          <w:rFonts w:hint="eastAsia" w:ascii="仿宋_GB2312" w:eastAsia="仿宋_GB2312"/>
          <w:sz w:val="32"/>
          <w:szCs w:val="32"/>
        </w:rPr>
        <w:t>万元，降低</w:t>
      </w:r>
      <w:r>
        <w:rPr>
          <w:rFonts w:ascii="仿宋_GB2312" w:eastAsia="仿宋_GB2312"/>
          <w:sz w:val="32"/>
          <w:szCs w:val="32"/>
        </w:rPr>
        <w:t>1.54</w:t>
      </w:r>
      <w:r>
        <w:rPr>
          <w:rFonts w:hint="eastAsia" w:ascii="仿宋_GB2312" w:eastAsia="仿宋_GB2312"/>
          <w:sz w:val="32"/>
          <w:szCs w:val="32"/>
        </w:rPr>
        <w:t>%，主要原因是：</w:t>
      </w:r>
      <w:r>
        <w:rPr>
          <w:rFonts w:ascii="仿宋_GB2312" w:eastAsia="仿宋_GB2312"/>
          <w:sz w:val="32"/>
          <w:szCs w:val="32"/>
        </w:rPr>
        <w:t>财政拨付维稳基础设施经费较上年减少</w:t>
      </w:r>
      <w:r>
        <w:rPr>
          <w:rFonts w:hint="eastAsia" w:ascii="仿宋_GB2312" w:eastAsia="仿宋_GB2312"/>
          <w:sz w:val="32"/>
          <w:szCs w:val="32"/>
        </w:rPr>
        <w:t>。本年支出</w:t>
      </w:r>
      <w:r>
        <w:rPr>
          <w:rFonts w:ascii="仿宋_GB2312" w:eastAsia="仿宋_GB2312"/>
          <w:sz w:val="32"/>
          <w:szCs w:val="32"/>
        </w:rPr>
        <w:t>4696.68</w:t>
      </w:r>
      <w:r>
        <w:rPr>
          <w:rFonts w:hint="eastAsia" w:ascii="仿宋_GB2312" w:eastAsia="仿宋_GB2312"/>
          <w:sz w:val="32"/>
          <w:szCs w:val="32"/>
        </w:rPr>
        <w:t>万元，与上年相比，减少</w:t>
      </w:r>
      <w:r>
        <w:rPr>
          <w:rFonts w:ascii="仿宋_GB2312" w:eastAsia="仿宋_GB2312"/>
          <w:sz w:val="32"/>
          <w:szCs w:val="32"/>
        </w:rPr>
        <w:t>149.13</w:t>
      </w:r>
      <w:r>
        <w:rPr>
          <w:rFonts w:hint="eastAsia" w:ascii="仿宋_GB2312" w:eastAsia="仿宋_GB2312"/>
          <w:sz w:val="32"/>
          <w:szCs w:val="32"/>
        </w:rPr>
        <w:t>万元，</w:t>
      </w:r>
      <w:r>
        <w:rPr>
          <w:rFonts w:ascii="仿宋_GB2312" w:eastAsia="仿宋_GB2312"/>
          <w:sz w:val="32"/>
          <w:szCs w:val="32"/>
        </w:rPr>
        <w:t>减少3.08</w:t>
      </w:r>
      <w:r>
        <w:rPr>
          <w:rFonts w:hint="eastAsia" w:ascii="仿宋_GB2312" w:eastAsia="仿宋_GB2312"/>
          <w:sz w:val="32"/>
          <w:szCs w:val="32"/>
        </w:rPr>
        <w:t>%，主要原因是：</w:t>
      </w:r>
      <w:r>
        <w:rPr>
          <w:rFonts w:ascii="仿宋_GB2312" w:eastAsia="仿宋_GB2312"/>
          <w:sz w:val="32"/>
          <w:szCs w:val="32"/>
        </w:rPr>
        <w:t>维稳基础设施建设支出较上年减少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4881.47</w:t>
      </w:r>
      <w:r>
        <w:rPr>
          <w:rFonts w:hint="eastAsia" w:ascii="仿宋_GB2312" w:eastAsia="仿宋_GB2312"/>
          <w:sz w:val="32"/>
          <w:szCs w:val="32"/>
        </w:rPr>
        <w:t>万元，其中：财政拨款收入</w:t>
      </w:r>
      <w:r>
        <w:rPr>
          <w:rFonts w:ascii="仿宋_GB2312" w:eastAsia="仿宋_GB2312"/>
          <w:sz w:val="32"/>
          <w:szCs w:val="32"/>
        </w:rPr>
        <w:t>4267.14</w:t>
      </w:r>
      <w:r>
        <w:rPr>
          <w:rFonts w:hint="eastAsia" w:ascii="仿宋_GB2312" w:eastAsia="仿宋_GB2312"/>
          <w:sz w:val="32"/>
          <w:szCs w:val="32"/>
        </w:rPr>
        <w:t>万元，占</w:t>
      </w:r>
      <w:r>
        <w:rPr>
          <w:rFonts w:ascii="仿宋_GB2312" w:eastAsia="仿宋_GB2312"/>
          <w:sz w:val="32"/>
          <w:szCs w:val="32"/>
        </w:rPr>
        <w:t>87.42</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614.32</w:t>
      </w:r>
      <w:r>
        <w:rPr>
          <w:rFonts w:hint="eastAsia" w:ascii="仿宋_GB2312" w:eastAsia="仿宋_GB2312"/>
          <w:sz w:val="32"/>
          <w:szCs w:val="32"/>
        </w:rPr>
        <w:t>万元，占</w:t>
      </w:r>
      <w:r>
        <w:rPr>
          <w:rFonts w:ascii="仿宋_GB2312" w:eastAsia="仿宋_GB2312"/>
          <w:sz w:val="32"/>
          <w:szCs w:val="32"/>
        </w:rPr>
        <w:t>12.58</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4696.68</w:t>
      </w:r>
      <w:r>
        <w:rPr>
          <w:rFonts w:hint="eastAsia" w:ascii="仿宋_GB2312" w:eastAsia="仿宋_GB2312"/>
          <w:sz w:val="32"/>
          <w:szCs w:val="32"/>
        </w:rPr>
        <w:t>万元，其中：基本支出</w:t>
      </w:r>
      <w:r>
        <w:rPr>
          <w:rFonts w:ascii="仿宋_GB2312" w:eastAsia="仿宋_GB2312"/>
          <w:sz w:val="32"/>
          <w:szCs w:val="32"/>
        </w:rPr>
        <w:t>3530.31</w:t>
      </w:r>
      <w:r>
        <w:rPr>
          <w:rFonts w:hint="eastAsia" w:ascii="仿宋_GB2312" w:eastAsia="仿宋_GB2312"/>
          <w:sz w:val="32"/>
          <w:szCs w:val="32"/>
        </w:rPr>
        <w:t>万元，占</w:t>
      </w:r>
      <w:r>
        <w:rPr>
          <w:rFonts w:ascii="仿宋_GB2312" w:eastAsia="仿宋_GB2312"/>
          <w:sz w:val="32"/>
          <w:szCs w:val="32"/>
        </w:rPr>
        <w:t>75.17</w:t>
      </w:r>
      <w:r>
        <w:rPr>
          <w:rFonts w:hint="eastAsia" w:ascii="仿宋_GB2312" w:eastAsia="仿宋_GB2312"/>
          <w:sz w:val="32"/>
          <w:szCs w:val="32"/>
        </w:rPr>
        <w:t>%；项目支出</w:t>
      </w:r>
      <w:r>
        <w:rPr>
          <w:rFonts w:ascii="仿宋_GB2312" w:eastAsia="仿宋_GB2312"/>
          <w:sz w:val="32"/>
          <w:szCs w:val="32"/>
        </w:rPr>
        <w:t>1166.38</w:t>
      </w:r>
      <w:r>
        <w:rPr>
          <w:rFonts w:hint="eastAsia" w:ascii="仿宋_GB2312" w:eastAsia="仿宋_GB2312"/>
          <w:sz w:val="32"/>
          <w:szCs w:val="32"/>
        </w:rPr>
        <w:t>万元，占</w:t>
      </w:r>
      <w:r>
        <w:rPr>
          <w:rFonts w:ascii="仿宋_GB2312" w:eastAsia="仿宋_GB2312"/>
          <w:sz w:val="32"/>
          <w:szCs w:val="32"/>
        </w:rPr>
        <w:t>24.83</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4267.14</w:t>
      </w:r>
      <w:r>
        <w:rPr>
          <w:rFonts w:hint="eastAsia" w:ascii="仿宋_GB2312" w:eastAsia="仿宋_GB2312"/>
          <w:sz w:val="32"/>
          <w:szCs w:val="32"/>
        </w:rPr>
        <w:t>万元，与上年相比，减少</w:t>
      </w:r>
      <w:r>
        <w:rPr>
          <w:rFonts w:ascii="仿宋_GB2312" w:eastAsia="仿宋_GB2312"/>
          <w:sz w:val="32"/>
          <w:szCs w:val="32"/>
        </w:rPr>
        <w:t>609.64</w:t>
      </w:r>
      <w:r>
        <w:rPr>
          <w:rFonts w:hint="eastAsia" w:ascii="仿宋_GB2312" w:eastAsia="仿宋_GB2312"/>
          <w:sz w:val="32"/>
          <w:szCs w:val="32"/>
        </w:rPr>
        <w:t>万元，降低</w:t>
      </w:r>
      <w:r>
        <w:rPr>
          <w:rFonts w:ascii="仿宋_GB2312" w:eastAsia="仿宋_GB2312"/>
          <w:sz w:val="32"/>
          <w:szCs w:val="32"/>
        </w:rPr>
        <w:t>12.5</w:t>
      </w:r>
      <w:r>
        <w:rPr>
          <w:rFonts w:hint="eastAsia" w:ascii="仿宋_GB2312" w:eastAsia="仿宋_GB2312"/>
          <w:sz w:val="32"/>
          <w:szCs w:val="32"/>
        </w:rPr>
        <w:t>%。主要原因是：</w:t>
      </w:r>
      <w:r>
        <w:rPr>
          <w:rFonts w:ascii="仿宋_GB2312" w:eastAsia="仿宋_GB2312"/>
          <w:sz w:val="32"/>
          <w:szCs w:val="32"/>
        </w:rPr>
        <w:t>财政拨付维稳基础设施经费较上年减少</w:t>
      </w:r>
      <w:r>
        <w:rPr>
          <w:rFonts w:hint="eastAsia" w:ascii="仿宋_GB2312" w:eastAsia="仿宋_GB2312"/>
          <w:sz w:val="32"/>
          <w:szCs w:val="32"/>
        </w:rPr>
        <w:t>。财政拨款支出</w:t>
      </w:r>
      <w:r>
        <w:rPr>
          <w:rFonts w:ascii="仿宋_GB2312" w:eastAsia="仿宋_GB2312"/>
          <w:sz w:val="32"/>
          <w:szCs w:val="32"/>
        </w:rPr>
        <w:t>4082.36</w:t>
      </w:r>
      <w:r>
        <w:rPr>
          <w:rFonts w:hint="eastAsia" w:ascii="仿宋_GB2312" w:eastAsia="仿宋_GB2312"/>
          <w:sz w:val="32"/>
          <w:szCs w:val="32"/>
        </w:rPr>
        <w:t>万元，与上年相比，减少</w:t>
      </w:r>
      <w:r>
        <w:rPr>
          <w:rFonts w:ascii="仿宋_GB2312" w:eastAsia="仿宋_GB2312"/>
          <w:sz w:val="32"/>
          <w:szCs w:val="32"/>
        </w:rPr>
        <w:t>682.22</w:t>
      </w:r>
      <w:r>
        <w:rPr>
          <w:rFonts w:hint="eastAsia" w:ascii="仿宋_GB2312" w:eastAsia="仿宋_GB2312"/>
          <w:sz w:val="32"/>
          <w:szCs w:val="32"/>
        </w:rPr>
        <w:t>万元，降低</w:t>
      </w:r>
      <w:r>
        <w:rPr>
          <w:rFonts w:ascii="仿宋_GB2312" w:eastAsia="仿宋_GB2312"/>
          <w:sz w:val="32"/>
          <w:szCs w:val="32"/>
        </w:rPr>
        <w:t>14.32</w:t>
      </w:r>
      <w:r>
        <w:rPr>
          <w:rFonts w:hint="eastAsia" w:ascii="仿宋_GB2312" w:eastAsia="仿宋_GB2312"/>
          <w:sz w:val="32"/>
          <w:szCs w:val="32"/>
        </w:rPr>
        <w:t>%，主要原因是：</w:t>
      </w:r>
      <w:r>
        <w:rPr>
          <w:rFonts w:ascii="仿宋_GB2312" w:eastAsia="仿宋_GB2312"/>
          <w:sz w:val="32"/>
          <w:szCs w:val="32"/>
        </w:rPr>
        <w:t>财政拨付维稳基础设施经费较上年减少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5347.01</w:t>
      </w:r>
      <w:r>
        <w:rPr>
          <w:rFonts w:hint="eastAsia" w:ascii="仿宋_GB2312" w:eastAsia="仿宋_GB2312"/>
          <w:sz w:val="32"/>
          <w:szCs w:val="32"/>
        </w:rPr>
        <w:t>万元，决算数</w:t>
      </w:r>
      <w:r>
        <w:rPr>
          <w:rFonts w:ascii="仿宋_GB2312" w:eastAsia="仿宋_GB2312"/>
          <w:sz w:val="32"/>
          <w:szCs w:val="32"/>
        </w:rPr>
        <w:t>4267.14</w:t>
      </w:r>
      <w:r>
        <w:rPr>
          <w:rFonts w:hint="eastAsia" w:ascii="仿宋_GB2312" w:eastAsia="仿宋_GB2312"/>
          <w:sz w:val="32"/>
          <w:szCs w:val="32"/>
        </w:rPr>
        <w:t>万元，预决算差异率</w:t>
      </w:r>
      <w:r>
        <w:rPr>
          <w:rFonts w:ascii="仿宋_GB2312" w:eastAsia="仿宋_GB2312"/>
          <w:sz w:val="32"/>
          <w:szCs w:val="32"/>
        </w:rPr>
        <w:t>-20.2</w:t>
      </w:r>
      <w:r>
        <w:rPr>
          <w:rFonts w:hint="eastAsia" w:ascii="仿宋_GB2312" w:eastAsia="仿宋_GB2312"/>
          <w:sz w:val="32"/>
          <w:szCs w:val="32"/>
        </w:rPr>
        <w:t>%，主要原因是：</w:t>
      </w:r>
      <w:r>
        <w:rPr>
          <w:rFonts w:ascii="仿宋_GB2312" w:eastAsia="仿宋_GB2312"/>
          <w:sz w:val="32"/>
          <w:szCs w:val="32"/>
        </w:rPr>
        <w:t>财政拨付维稳基础设施经费较上年减少</w:t>
      </w:r>
      <w:r>
        <w:rPr>
          <w:rFonts w:hint="eastAsia" w:ascii="仿宋_GB2312" w:eastAsia="仿宋_GB2312"/>
          <w:sz w:val="32"/>
          <w:szCs w:val="32"/>
        </w:rPr>
        <w:t>。财政拨款支出年初预算数</w:t>
      </w:r>
      <w:r>
        <w:rPr>
          <w:rFonts w:ascii="仿宋_GB2312" w:eastAsia="仿宋_GB2312"/>
          <w:sz w:val="32"/>
          <w:szCs w:val="32"/>
        </w:rPr>
        <w:t>5347.01</w:t>
      </w:r>
      <w:r>
        <w:rPr>
          <w:rFonts w:hint="eastAsia" w:ascii="仿宋_GB2312" w:eastAsia="仿宋_GB2312"/>
          <w:sz w:val="32"/>
          <w:szCs w:val="32"/>
        </w:rPr>
        <w:t>万元，决算数</w:t>
      </w:r>
      <w:r>
        <w:rPr>
          <w:rFonts w:ascii="仿宋_GB2312" w:eastAsia="仿宋_GB2312"/>
          <w:sz w:val="32"/>
          <w:szCs w:val="32"/>
        </w:rPr>
        <w:t>4082.36</w:t>
      </w:r>
      <w:r>
        <w:rPr>
          <w:rFonts w:hint="eastAsia" w:ascii="仿宋_GB2312" w:eastAsia="仿宋_GB2312"/>
          <w:sz w:val="32"/>
          <w:szCs w:val="32"/>
        </w:rPr>
        <w:t>万元，预决算差异率</w:t>
      </w:r>
      <w:r>
        <w:rPr>
          <w:rFonts w:ascii="仿宋_GB2312" w:eastAsia="仿宋_GB2312"/>
          <w:sz w:val="32"/>
          <w:szCs w:val="32"/>
        </w:rPr>
        <w:t>-23.65</w:t>
      </w:r>
      <w:r>
        <w:rPr>
          <w:rFonts w:hint="eastAsia" w:ascii="仿宋_GB2312" w:eastAsia="仿宋_GB2312"/>
          <w:sz w:val="32"/>
          <w:szCs w:val="32"/>
        </w:rPr>
        <w:t>%，主要原因是：</w:t>
      </w:r>
      <w:r>
        <w:rPr>
          <w:rFonts w:ascii="仿宋_GB2312" w:eastAsia="仿宋_GB2312"/>
          <w:sz w:val="32"/>
          <w:szCs w:val="32"/>
        </w:rPr>
        <w:t>财政拨付维稳基础设施经费较上年减少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4082.36</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2013101行政运行2,616.26万元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2013150事业运行25.98万元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2040299其他公安支出1,200.18万元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2049901其他公共安全支出167.32万元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2080501归口管理的行政单位离退休0.90万元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2080505机关事业单位基本养老保险缴费支出36.53万元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2080506机关事业单位职业年金缴费支出4.91万元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2080799其他就业补助支出3.02万元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2101101行政单位医疗10.24万元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2101102事业单位医疗1.84万元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2210201住房公积金15.19万元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2915.98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2685.65</w:t>
      </w:r>
      <w:r>
        <w:rPr>
          <w:rFonts w:hint="eastAsia" w:ascii="仿宋_GB2312" w:eastAsia="仿宋_GB2312"/>
          <w:sz w:val="32"/>
          <w:szCs w:val="32"/>
        </w:rPr>
        <w:t>万元，包括：基本工资，津贴补贴，奖金，伙食补助费，机关事业单位基本养老保险缴费，职业年金缴费，职工基本养老保险缴费，其他社会保险缴费，住房公积金，其他工资福利支出，退休费，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230.34</w:t>
      </w:r>
      <w:r>
        <w:rPr>
          <w:rFonts w:hint="eastAsia" w:ascii="仿宋_GB2312" w:eastAsia="仿宋_GB2312"/>
          <w:sz w:val="32"/>
          <w:szCs w:val="32"/>
        </w:rPr>
        <w:t>万元，包括：办公费，印刷费，手续费，电费，邮电费，取暖费，差旅费，维修（护）费，租赁费，会议费，培训费，公务接待费，劳务费，工会经费，公务车运行维护费，其他商品和服务支出、办公设备购置。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31.18</w:t>
      </w:r>
      <w:r>
        <w:rPr>
          <w:rFonts w:hint="eastAsia" w:ascii="仿宋_GB2312" w:eastAsia="仿宋_GB2312"/>
          <w:sz w:val="32"/>
          <w:szCs w:val="32"/>
        </w:rPr>
        <w:t>万元，比上年减少</w:t>
      </w:r>
      <w:r>
        <w:rPr>
          <w:rFonts w:ascii="仿宋_GB2312" w:eastAsia="仿宋_GB2312"/>
          <w:sz w:val="32"/>
          <w:szCs w:val="32"/>
        </w:rPr>
        <w:t>105.01</w:t>
      </w:r>
      <w:r>
        <w:rPr>
          <w:rFonts w:hint="eastAsia" w:ascii="仿宋_GB2312" w:eastAsia="仿宋_GB2312"/>
          <w:sz w:val="32"/>
          <w:szCs w:val="32"/>
        </w:rPr>
        <w:t>万元，降低</w:t>
      </w:r>
      <w:r>
        <w:rPr>
          <w:rFonts w:ascii="仿宋_GB2312" w:eastAsia="仿宋_GB2312"/>
          <w:sz w:val="32"/>
          <w:szCs w:val="32"/>
        </w:rPr>
        <w:t>77.1</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31</w:t>
      </w:r>
      <w:r>
        <w:rPr>
          <w:rFonts w:hint="eastAsia" w:ascii="仿宋_GB2312" w:eastAsia="仿宋_GB2312"/>
          <w:sz w:val="32"/>
          <w:szCs w:val="32"/>
        </w:rPr>
        <w:t>万元，占</w:t>
      </w:r>
      <w:r>
        <w:rPr>
          <w:rFonts w:ascii="仿宋_GB2312" w:eastAsia="仿宋_GB2312"/>
          <w:sz w:val="32"/>
          <w:szCs w:val="32"/>
        </w:rPr>
        <w:t>99.42</w:t>
      </w:r>
      <w:r>
        <w:rPr>
          <w:rFonts w:hint="eastAsia" w:ascii="仿宋_GB2312" w:eastAsia="仿宋_GB2312"/>
          <w:sz w:val="32"/>
          <w:szCs w:val="32"/>
        </w:rPr>
        <w:t>%，比上年减少</w:t>
      </w:r>
      <w:r>
        <w:rPr>
          <w:rFonts w:ascii="仿宋_GB2312" w:eastAsia="仿宋_GB2312"/>
          <w:sz w:val="32"/>
          <w:szCs w:val="32"/>
        </w:rPr>
        <w:t>105.01</w:t>
      </w:r>
      <w:r>
        <w:rPr>
          <w:rFonts w:hint="eastAsia" w:ascii="仿宋_GB2312" w:eastAsia="仿宋_GB2312"/>
          <w:sz w:val="32"/>
          <w:szCs w:val="32"/>
        </w:rPr>
        <w:t>万元，降低</w:t>
      </w:r>
      <w:r>
        <w:rPr>
          <w:rFonts w:ascii="仿宋_GB2312" w:eastAsia="仿宋_GB2312"/>
          <w:sz w:val="32"/>
          <w:szCs w:val="32"/>
        </w:rPr>
        <w:t>77.21</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；公务接待费支出</w:t>
      </w:r>
      <w:r>
        <w:rPr>
          <w:rFonts w:ascii="仿宋_GB2312" w:eastAsia="仿宋_GB2312"/>
          <w:sz w:val="32"/>
          <w:szCs w:val="32"/>
        </w:rPr>
        <w:t>0.18</w:t>
      </w:r>
      <w:r>
        <w:rPr>
          <w:rFonts w:hint="eastAsia" w:ascii="仿宋_GB2312" w:eastAsia="仿宋_GB2312"/>
          <w:sz w:val="32"/>
          <w:szCs w:val="32"/>
        </w:rPr>
        <w:t>万元，占</w:t>
      </w:r>
      <w:r>
        <w:rPr>
          <w:rFonts w:ascii="仿宋_GB2312" w:eastAsia="仿宋_GB2312"/>
          <w:sz w:val="32"/>
          <w:szCs w:val="32"/>
        </w:rPr>
        <w:t>0.58</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万元，降低</w:t>
      </w:r>
      <w:r>
        <w:rPr>
          <w:rFonts w:ascii="仿宋_GB2312" w:eastAsia="仿宋_GB2312"/>
          <w:sz w:val="32"/>
          <w:szCs w:val="32"/>
        </w:rPr>
        <w:t>1.09</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31</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31</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0.18</w:t>
      </w:r>
      <w:r>
        <w:rPr>
          <w:rFonts w:hint="eastAsia" w:ascii="仿宋_GB2312" w:eastAsia="仿宋_GB2312"/>
          <w:sz w:val="32"/>
          <w:szCs w:val="32"/>
        </w:rPr>
        <w:t>万元，开支内容包括：接待人员就餐费。单位全年安排的国内公务接待</w:t>
      </w:r>
      <w:r>
        <w:rPr>
          <w:rFonts w:ascii="仿宋_GB2312" w:eastAsia="仿宋_GB2312"/>
          <w:sz w:val="32"/>
          <w:szCs w:val="32"/>
        </w:rPr>
        <w:t>5</w:t>
      </w:r>
      <w:r>
        <w:rPr>
          <w:rFonts w:hint="eastAsia" w:ascii="仿宋_GB2312" w:eastAsia="仿宋_GB2312"/>
          <w:sz w:val="32"/>
          <w:szCs w:val="32"/>
        </w:rPr>
        <w:t>批次，</w:t>
      </w:r>
      <w:r>
        <w:rPr>
          <w:rFonts w:ascii="仿宋_GB2312" w:eastAsia="仿宋_GB2312"/>
          <w:sz w:val="32"/>
          <w:szCs w:val="32"/>
        </w:rPr>
        <w:t>61</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31.74</w:t>
      </w:r>
      <w:r>
        <w:rPr>
          <w:rFonts w:hint="eastAsia" w:ascii="仿宋_GB2312" w:eastAsia="仿宋_GB2312"/>
          <w:sz w:val="32"/>
          <w:szCs w:val="32"/>
        </w:rPr>
        <w:t>万元，决算数</w:t>
      </w:r>
      <w:r>
        <w:rPr>
          <w:rFonts w:ascii="仿宋_GB2312" w:eastAsia="仿宋_GB2312"/>
          <w:sz w:val="32"/>
          <w:szCs w:val="32"/>
        </w:rPr>
        <w:t>31.18</w:t>
      </w:r>
      <w:r>
        <w:rPr>
          <w:rFonts w:hint="eastAsia" w:ascii="仿宋_GB2312" w:eastAsia="仿宋_GB2312"/>
          <w:sz w:val="32"/>
          <w:szCs w:val="32"/>
        </w:rPr>
        <w:t>万元，预决算差异率</w:t>
      </w:r>
      <w:r>
        <w:rPr>
          <w:rFonts w:ascii="仿宋_GB2312" w:eastAsia="仿宋_GB2312"/>
          <w:sz w:val="32"/>
          <w:szCs w:val="32"/>
        </w:rPr>
        <w:t>-1.76</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31.56</w:t>
      </w:r>
      <w:r>
        <w:rPr>
          <w:rFonts w:hint="eastAsia" w:ascii="仿宋_GB2312" w:eastAsia="仿宋_GB2312"/>
          <w:sz w:val="32"/>
          <w:szCs w:val="32"/>
        </w:rPr>
        <w:t>万元，决算数</w:t>
      </w:r>
      <w:r>
        <w:rPr>
          <w:rFonts w:ascii="仿宋_GB2312" w:eastAsia="仿宋_GB2312"/>
          <w:sz w:val="32"/>
          <w:szCs w:val="32"/>
        </w:rPr>
        <w:t>31</w:t>
      </w:r>
      <w:r>
        <w:rPr>
          <w:rFonts w:hint="eastAsia" w:ascii="仿宋_GB2312" w:eastAsia="仿宋_GB2312"/>
          <w:sz w:val="32"/>
          <w:szCs w:val="32"/>
        </w:rPr>
        <w:t>万元，预决算差异率</w:t>
      </w:r>
      <w:r>
        <w:rPr>
          <w:rFonts w:ascii="仿宋_GB2312" w:eastAsia="仿宋_GB2312"/>
          <w:sz w:val="32"/>
          <w:szCs w:val="32"/>
        </w:rPr>
        <w:t>-1.77</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0.18</w:t>
      </w:r>
      <w:r>
        <w:rPr>
          <w:rFonts w:hint="eastAsia" w:ascii="仿宋_GB2312" w:eastAsia="仿宋_GB2312"/>
          <w:sz w:val="32"/>
          <w:szCs w:val="32"/>
        </w:rPr>
        <w:t>万元，决算数</w:t>
      </w:r>
      <w:r>
        <w:rPr>
          <w:rFonts w:ascii="仿宋_GB2312" w:eastAsia="仿宋_GB2312"/>
          <w:sz w:val="32"/>
          <w:szCs w:val="32"/>
        </w:rPr>
        <w:t>0.18</w:t>
      </w:r>
      <w:r>
        <w:rPr>
          <w:rFonts w:hint="eastAsia" w:ascii="仿宋_GB2312" w:eastAsia="仿宋_GB2312"/>
          <w:sz w:val="32"/>
          <w:szCs w:val="32"/>
        </w:rPr>
        <w:t>万元，预决算差异率</w:t>
      </w:r>
      <w:r>
        <w:rPr>
          <w:rFonts w:ascii="仿宋_GB2312" w:eastAsia="仿宋_GB2312"/>
          <w:sz w:val="32"/>
          <w:szCs w:val="32"/>
        </w:rPr>
        <w:t>-1.09</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bookmarkStart w:id="0" w:name="_GoBack"/>
      <w:bookmarkEnd w:id="0"/>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新疆伊犁州霍城县政法委员会</w:t>
      </w:r>
      <w:r>
        <w:rPr>
          <w:rFonts w:hint="eastAsia" w:ascii="仿宋_GB2312" w:eastAsia="仿宋_GB2312"/>
          <w:sz w:val="32"/>
          <w:szCs w:val="32"/>
        </w:rPr>
        <w:t>（行政单位）机关运行经费支出</w:t>
      </w:r>
      <w:r>
        <w:rPr>
          <w:rFonts w:ascii="仿宋_GB2312" w:eastAsia="仿宋_GB2312"/>
          <w:sz w:val="32"/>
          <w:szCs w:val="32"/>
        </w:rPr>
        <w:t>230.34</w:t>
      </w:r>
      <w:r>
        <w:rPr>
          <w:rFonts w:hint="eastAsia" w:ascii="仿宋_GB2312" w:eastAsia="仿宋_GB2312"/>
          <w:sz w:val="32"/>
          <w:szCs w:val="32"/>
        </w:rPr>
        <w:t>万元，比上年减少</w:t>
      </w:r>
      <w:r>
        <w:rPr>
          <w:rFonts w:ascii="仿宋_GB2312" w:eastAsia="仿宋_GB2312"/>
          <w:sz w:val="32"/>
          <w:szCs w:val="32"/>
        </w:rPr>
        <w:t>85.02</w:t>
      </w:r>
      <w:r>
        <w:rPr>
          <w:rFonts w:hint="eastAsia" w:ascii="仿宋_GB2312" w:eastAsia="仿宋_GB2312"/>
          <w:sz w:val="32"/>
          <w:szCs w:val="32"/>
        </w:rPr>
        <w:t>万元，降低</w:t>
      </w:r>
      <w:r>
        <w:rPr>
          <w:rFonts w:ascii="仿宋_GB2312" w:eastAsia="仿宋_GB2312"/>
          <w:sz w:val="32"/>
          <w:szCs w:val="32"/>
        </w:rPr>
        <w:t>26.96</w:t>
      </w:r>
      <w:r>
        <w:rPr>
          <w:rFonts w:hint="eastAsia" w:ascii="仿宋_GB2312" w:eastAsia="仿宋_GB2312"/>
          <w:sz w:val="32"/>
          <w:szCs w:val="32"/>
        </w:rPr>
        <w:t>%，主要原因是：厉行节约，压减开支。</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57.25</w:t>
      </w:r>
      <w:r>
        <w:rPr>
          <w:rFonts w:hint="eastAsia" w:ascii="仿宋_GB2312" w:eastAsia="仿宋_GB2312"/>
          <w:sz w:val="32"/>
          <w:szCs w:val="32"/>
        </w:rPr>
        <w:t>万元，其中：政府采购货物支出</w:t>
      </w:r>
      <w:r>
        <w:rPr>
          <w:rFonts w:ascii="仿宋_GB2312" w:eastAsia="仿宋_GB2312"/>
          <w:sz w:val="32"/>
          <w:szCs w:val="32"/>
        </w:rPr>
        <w:t>57.25</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11</w:t>
      </w:r>
      <w:r>
        <w:rPr>
          <w:rFonts w:hint="eastAsia" w:ascii="仿宋_GB2312" w:eastAsia="仿宋_GB2312"/>
          <w:sz w:val="32"/>
          <w:szCs w:val="32"/>
        </w:rPr>
        <w:t>辆，价值</w:t>
      </w:r>
      <w:r>
        <w:rPr>
          <w:rFonts w:ascii="仿宋_GB2312" w:eastAsia="仿宋_GB2312"/>
          <w:sz w:val="32"/>
          <w:szCs w:val="32"/>
        </w:rPr>
        <w:t>151.82</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7</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2个，共涉及资金2869.60万元。预算绩效管理取得的成效：一是加强制度建设，打牢绩效管理工作基础。发现的问题及原因：一是全过程预算绩效管理制度体系不健全。下一步改进措施：一是高度重视，加强领导，精心组织，逐步推开，实现编制预算绩效目标全覆盖。具体项目自评情况附项目支出绩效自评表。具体项目自评情况附项目支出绩效自评表。</w:t>
      </w:r>
    </w:p>
    <w:tbl>
      <w:tblPr>
        <w:tblStyle w:val="9"/>
        <w:tblpPr w:leftFromText="180" w:rightFromText="180" w:vertAnchor="text" w:horzAnchor="page" w:tblpX="1640" w:tblpY="-794"/>
        <w:tblOverlap w:val="never"/>
        <w:tblW w:w="9080" w:type="dxa"/>
        <w:tblInd w:w="0" w:type="dxa"/>
        <w:tblLayout w:type="fixed"/>
        <w:tblCellMar>
          <w:top w:w="0" w:type="dxa"/>
          <w:left w:w="108" w:type="dxa"/>
          <w:bottom w:w="0" w:type="dxa"/>
          <w:right w:w="108" w:type="dxa"/>
        </w:tblCellMar>
      </w:tblPr>
      <w:tblGrid>
        <w:gridCol w:w="588"/>
        <w:gridCol w:w="980"/>
        <w:gridCol w:w="1112"/>
        <w:gridCol w:w="730"/>
        <w:gridCol w:w="1134"/>
        <w:gridCol w:w="56"/>
        <w:gridCol w:w="1350"/>
        <w:gridCol w:w="780"/>
        <w:gridCol w:w="82"/>
        <w:gridCol w:w="473"/>
        <w:gridCol w:w="236"/>
        <w:gridCol w:w="274"/>
        <w:gridCol w:w="577"/>
        <w:gridCol w:w="708"/>
      </w:tblGrid>
      <w:tr>
        <w:tblPrEx>
          <w:tblLayout w:type="fixed"/>
          <w:tblCellMar>
            <w:top w:w="0" w:type="dxa"/>
            <w:left w:w="108" w:type="dxa"/>
            <w:bottom w:w="0" w:type="dxa"/>
            <w:right w:w="108" w:type="dxa"/>
          </w:tblCellMar>
        </w:tblPrEx>
        <w:trPr>
          <w:trHeight w:val="454" w:hRule="exact"/>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trPr>
        <w:tc>
          <w:tcPr>
            <w:tcW w:w="9080"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运转经费</w:t>
            </w:r>
          </w:p>
        </w:tc>
      </w:tr>
      <w:tr>
        <w:tblPrEx>
          <w:tblLayout w:type="fixed"/>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38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霍城县委政法委</w:t>
            </w:r>
          </w:p>
        </w:tc>
      </w:tr>
      <w:tr>
        <w:tblPrEx>
          <w:tblLayout w:type="fixed"/>
          <w:tblCellMar>
            <w:top w:w="0" w:type="dxa"/>
            <w:left w:w="108" w:type="dxa"/>
            <w:bottom w:w="0" w:type="dxa"/>
            <w:right w:w="108" w:type="dxa"/>
          </w:tblCellMar>
        </w:tblPrEx>
        <w:trPr>
          <w:trHeight w:val="300" w:hRule="exact"/>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w:t>
            </w: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w:t>
            </w: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36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13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597" w:hRule="exact"/>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36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保障八大中心的正常运转，促进社会稳定和长治久安。</w:t>
            </w:r>
          </w:p>
        </w:tc>
        <w:tc>
          <w:tcPr>
            <w:tcW w:w="313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运转经费保障到位</w:t>
            </w:r>
          </w:p>
        </w:tc>
      </w:tr>
      <w:tr>
        <w:tblPrEx>
          <w:tblLayout w:type="fixed"/>
          <w:tblCellMar>
            <w:top w:w="0" w:type="dxa"/>
            <w:left w:w="108" w:type="dxa"/>
            <w:bottom w:w="0" w:type="dxa"/>
            <w:right w:w="108" w:type="dxa"/>
          </w:tblCellMar>
        </w:tblPrEx>
        <w:trPr>
          <w:trHeight w:val="533" w:hRule="exact"/>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9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指标1：保障八大中心的正常运转。</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水、电、燃油费等的日常运转保障</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保障到位</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指标1：按照拨付计划支付</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根据计划支出</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1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指标1：运转周期</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本年度</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1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指标1：预算下达经费</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640万元</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640万元</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06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指标1：确保各项业务工作有序推进，促进政法委工作的发展。</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保障政法委工作顺利开展。</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116"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指标1：社会大局持续稳定</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保障八大中心运转有效，社会大局持续稳定</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83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指标1：群众安全感</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社会治安持续好转，群众安全感持续提升</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7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指标1：职工满意度</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90" w:hRule="exact"/>
        </w:trPr>
        <w:tc>
          <w:tcPr>
            <w:tcW w:w="673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tbl>
      <w:tblPr>
        <w:tblStyle w:val="9"/>
        <w:tblW w:w="9080" w:type="dxa"/>
        <w:jc w:val="center"/>
        <w:tblInd w:w="0" w:type="dxa"/>
        <w:tblLayout w:type="fixed"/>
        <w:tblCellMar>
          <w:top w:w="0" w:type="dxa"/>
          <w:left w:w="108" w:type="dxa"/>
          <w:bottom w:w="0" w:type="dxa"/>
          <w:right w:w="108" w:type="dxa"/>
        </w:tblCellMar>
      </w:tblPr>
      <w:tblGrid>
        <w:gridCol w:w="588"/>
        <w:gridCol w:w="980"/>
        <w:gridCol w:w="1112"/>
        <w:gridCol w:w="730"/>
        <w:gridCol w:w="1134"/>
        <w:gridCol w:w="56"/>
        <w:gridCol w:w="1185"/>
        <w:gridCol w:w="945"/>
        <w:gridCol w:w="82"/>
        <w:gridCol w:w="473"/>
        <w:gridCol w:w="236"/>
        <w:gridCol w:w="274"/>
        <w:gridCol w:w="577"/>
        <w:gridCol w:w="708"/>
      </w:tblGrid>
      <w:tr>
        <w:tblPrEx>
          <w:tblLayout w:type="fixed"/>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全区护边员补助经费</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21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霍城县委政法委</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2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02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w:t>
            </w:r>
          </w:p>
        </w:tc>
        <w:tc>
          <w:tcPr>
            <w:tcW w:w="12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w:t>
            </w:r>
          </w:p>
        </w:tc>
        <w:tc>
          <w:tcPr>
            <w:tcW w:w="102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w:t>
            </w:r>
          </w:p>
        </w:tc>
        <w:tc>
          <w:tcPr>
            <w:tcW w:w="12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w:t>
            </w:r>
          </w:p>
        </w:tc>
        <w:tc>
          <w:tcPr>
            <w:tcW w:w="102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19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29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197"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每月按时按标准发放护边员生活补助，提高护边员的积极性，加强联防队伍建设，维护边境地区社会稳定和长治久安。</w:t>
            </w:r>
          </w:p>
        </w:tc>
        <w:tc>
          <w:tcPr>
            <w:tcW w:w="3295"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护边员补助已按时发放完毕。</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18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指标1：边境线长</w:t>
            </w:r>
          </w:p>
        </w:tc>
        <w:tc>
          <w:tcPr>
            <w:tcW w:w="118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183公里</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183公里</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指标1：补助标准</w:t>
            </w:r>
          </w:p>
        </w:tc>
        <w:tc>
          <w:tcPr>
            <w:tcW w:w="1185"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2000元/月</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已100%完成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1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指标1：发放时间</w:t>
            </w:r>
          </w:p>
        </w:tc>
        <w:tc>
          <w:tcPr>
            <w:tcW w:w="1185"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每月15号前发放上月补助。</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已100%完成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指标1：生活补助经费</w:t>
            </w:r>
          </w:p>
        </w:tc>
        <w:tc>
          <w:tcPr>
            <w:tcW w:w="118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2229.6万元</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2229.6万元</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0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指标1：保障护边员生活，提高生活质量</w:t>
            </w:r>
          </w:p>
        </w:tc>
        <w:tc>
          <w:tcPr>
            <w:tcW w:w="1185"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每月按时发放生活补助，生活得以保障。</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已100%完成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9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指标1：解决人员就业问题</w:t>
            </w:r>
          </w:p>
        </w:tc>
        <w:tc>
          <w:tcPr>
            <w:tcW w:w="1185"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解决了护边员的就业问题，提高家庭收入。</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已100%完成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26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指标1：保障护边员基本生活，促进边疆社会稳定</w:t>
            </w:r>
          </w:p>
        </w:tc>
        <w:tc>
          <w:tcPr>
            <w:tcW w:w="1185"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在保障了护边员的生活的同时，激发护边员守土固边热情，促进边疆社会稳定、民族团结和边防巩固。</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已100%完成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指标1：护边员满意度</w:t>
            </w:r>
          </w:p>
        </w:tc>
        <w:tc>
          <w:tcPr>
            <w:tcW w:w="118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25" w:hRule="exact"/>
          <w:jc w:val="center"/>
        </w:trPr>
        <w:tc>
          <w:tcPr>
            <w:tcW w:w="673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172C"/>
    <w:rsid w:val="00015341"/>
    <w:rsid w:val="00034FC8"/>
    <w:rsid w:val="00054B86"/>
    <w:rsid w:val="000A1F9E"/>
    <w:rsid w:val="000D327C"/>
    <w:rsid w:val="00126D47"/>
    <w:rsid w:val="00197EB4"/>
    <w:rsid w:val="001D7DE3"/>
    <w:rsid w:val="001E387F"/>
    <w:rsid w:val="00203B4A"/>
    <w:rsid w:val="00245AB7"/>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C0EB6"/>
    <w:rsid w:val="00602421"/>
    <w:rsid w:val="0065381A"/>
    <w:rsid w:val="00694170"/>
    <w:rsid w:val="006D19AE"/>
    <w:rsid w:val="00752542"/>
    <w:rsid w:val="0076245D"/>
    <w:rsid w:val="007716BE"/>
    <w:rsid w:val="0079328D"/>
    <w:rsid w:val="007A29F3"/>
    <w:rsid w:val="007A3352"/>
    <w:rsid w:val="008A1D36"/>
    <w:rsid w:val="008E0BE2"/>
    <w:rsid w:val="009251F7"/>
    <w:rsid w:val="009348E3"/>
    <w:rsid w:val="009764A8"/>
    <w:rsid w:val="009846F5"/>
    <w:rsid w:val="00985B11"/>
    <w:rsid w:val="009A2AF5"/>
    <w:rsid w:val="009E51FD"/>
    <w:rsid w:val="00A41D58"/>
    <w:rsid w:val="00A94CDE"/>
    <w:rsid w:val="00AC1B7A"/>
    <w:rsid w:val="00AC7C38"/>
    <w:rsid w:val="00AF26D1"/>
    <w:rsid w:val="00B562C4"/>
    <w:rsid w:val="00B92BC8"/>
    <w:rsid w:val="00BE2864"/>
    <w:rsid w:val="00C0361D"/>
    <w:rsid w:val="00C06295"/>
    <w:rsid w:val="00C24EF4"/>
    <w:rsid w:val="00CD1B13"/>
    <w:rsid w:val="00D6662F"/>
    <w:rsid w:val="00D75105"/>
    <w:rsid w:val="00D803A8"/>
    <w:rsid w:val="00DE468A"/>
    <w:rsid w:val="00E2499A"/>
    <w:rsid w:val="00E56879"/>
    <w:rsid w:val="00ED26EA"/>
    <w:rsid w:val="00EF3F7E"/>
    <w:rsid w:val="00F138DF"/>
    <w:rsid w:val="00F279B8"/>
    <w:rsid w:val="00F60976"/>
    <w:rsid w:val="5EC0485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1056</Words>
  <Characters>6025</Characters>
  <Lines>50</Lines>
  <Paragraphs>14</Paragraphs>
  <ScaleCrop>false</ScaleCrop>
  <LinksUpToDate>false</LinksUpToDate>
  <CharactersWithSpaces>7067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2020-08-16T12:11:00Z</dcterms:created>
  <dc:creator>胡 锦岩</dc:creator>
  <cp:lastModifiedBy>Administrator</cp:lastModifiedBy>
  <dcterms:modified xsi:type="dcterms:W3CDTF">2020-11-06T05:31:56Z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